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881197" w:rsidRPr="00881197" w:rsidTr="0088119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307"/>
              <w:gridCol w:w="2870"/>
              <w:gridCol w:w="2787"/>
            </w:tblGrid>
            <w:tr w:rsidR="00881197" w:rsidRPr="0088119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1197" w:rsidRPr="00881197" w:rsidRDefault="00881197" w:rsidP="00881197">
                  <w:pPr>
                    <w:spacing w:after="0" w:line="240" w:lineRule="atLeast"/>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18 Ocak 2016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81197" w:rsidRPr="00881197" w:rsidRDefault="00881197" w:rsidP="00881197">
                  <w:pPr>
                    <w:spacing w:after="0" w:line="240" w:lineRule="atLeast"/>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81197" w:rsidRPr="00881197" w:rsidRDefault="00881197" w:rsidP="0088119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Sayı : 29597</w:t>
                  </w:r>
                </w:p>
              </w:tc>
            </w:tr>
            <w:tr w:rsidR="00881197" w:rsidRPr="00881197">
              <w:trPr>
                <w:trHeight w:val="480"/>
                <w:jc w:val="center"/>
              </w:trPr>
              <w:tc>
                <w:tcPr>
                  <w:tcW w:w="8789" w:type="dxa"/>
                  <w:gridSpan w:val="3"/>
                  <w:tcMar>
                    <w:top w:w="0" w:type="dxa"/>
                    <w:left w:w="108" w:type="dxa"/>
                    <w:bottom w:w="0" w:type="dxa"/>
                    <w:right w:w="108" w:type="dxa"/>
                  </w:tcMar>
                  <w:vAlign w:val="center"/>
                  <w:hideMark/>
                </w:tcPr>
                <w:p w:rsidR="00881197" w:rsidRPr="00881197" w:rsidRDefault="00881197" w:rsidP="0088119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color w:val="000080"/>
                      <w:sz w:val="24"/>
                      <w:szCs w:val="24"/>
                      <w:lang w:eastAsia="tr-TR"/>
                    </w:rPr>
                    <w:t>TEBLİĞ</w:t>
                  </w:r>
                </w:p>
              </w:tc>
            </w:tr>
            <w:tr w:rsidR="00881197" w:rsidRPr="00881197">
              <w:trPr>
                <w:trHeight w:val="480"/>
                <w:jc w:val="center"/>
              </w:trPr>
              <w:tc>
                <w:tcPr>
                  <w:tcW w:w="8789" w:type="dxa"/>
                  <w:gridSpan w:val="3"/>
                  <w:tcMar>
                    <w:top w:w="0" w:type="dxa"/>
                    <w:left w:w="108" w:type="dxa"/>
                    <w:bottom w:w="0" w:type="dxa"/>
                    <w:right w:w="108" w:type="dxa"/>
                  </w:tcMar>
                  <w:vAlign w:val="center"/>
                  <w:hideMark/>
                </w:tcPr>
                <w:p w:rsidR="00881197" w:rsidRPr="00881197" w:rsidRDefault="00881197" w:rsidP="00881197">
                  <w:pPr>
                    <w:spacing w:after="0" w:line="240" w:lineRule="atLeast"/>
                    <w:ind w:firstLine="566"/>
                    <w:jc w:val="both"/>
                    <w:rPr>
                      <w:rFonts w:ascii="Times New Roman" w:eastAsia="Times New Roman" w:hAnsi="Times New Roman" w:cs="Times New Roman"/>
                      <w:sz w:val="24"/>
                      <w:szCs w:val="24"/>
                      <w:u w:val="single"/>
                      <w:lang w:eastAsia="tr-TR"/>
                    </w:rPr>
                  </w:pPr>
                  <w:r w:rsidRPr="00881197">
                    <w:rPr>
                      <w:rFonts w:ascii="Times New Roman" w:eastAsia="Times New Roman" w:hAnsi="Times New Roman" w:cs="Times New Roman"/>
                      <w:sz w:val="24"/>
                      <w:szCs w:val="24"/>
                      <w:u w:val="single"/>
                      <w:lang w:eastAsia="tr-TR"/>
                    </w:rPr>
                    <w:t>Sosyal Güvenlik Kurumundan:</w:t>
                  </w:r>
                </w:p>
                <w:p w:rsidR="00881197" w:rsidRPr="00881197" w:rsidRDefault="00881197" w:rsidP="00881197">
                  <w:pPr>
                    <w:spacing w:after="0" w:line="240" w:lineRule="atLeast"/>
                    <w:jc w:val="center"/>
                    <w:rPr>
                      <w:rFonts w:ascii="Times New Roman" w:eastAsia="Times New Roman" w:hAnsi="Times New Roman" w:cs="Times New Roman"/>
                      <w:b/>
                      <w:bCs/>
                      <w:sz w:val="24"/>
                      <w:szCs w:val="24"/>
                      <w:lang w:eastAsia="tr-TR"/>
                    </w:rPr>
                  </w:pPr>
                  <w:r w:rsidRPr="00881197">
                    <w:rPr>
                      <w:rFonts w:ascii="Times New Roman" w:eastAsia="Times New Roman" w:hAnsi="Times New Roman" w:cs="Times New Roman"/>
                      <w:b/>
                      <w:bCs/>
                      <w:sz w:val="24"/>
                      <w:szCs w:val="24"/>
                      <w:lang w:eastAsia="tr-TR"/>
                    </w:rPr>
                    <w:t>SOSYAL GÜVENLİK KURUMU SAĞLIK UYGULAMA TEBLİĞİNDE</w:t>
                  </w:r>
                </w:p>
                <w:p w:rsidR="00881197" w:rsidRPr="00881197" w:rsidRDefault="00881197" w:rsidP="00881197">
                  <w:pPr>
                    <w:spacing w:after="0" w:line="240" w:lineRule="atLeast"/>
                    <w:jc w:val="center"/>
                    <w:rPr>
                      <w:rFonts w:ascii="Times New Roman" w:eastAsia="Times New Roman" w:hAnsi="Times New Roman" w:cs="Times New Roman"/>
                      <w:b/>
                      <w:bCs/>
                      <w:sz w:val="24"/>
                      <w:szCs w:val="24"/>
                      <w:lang w:eastAsia="tr-TR"/>
                    </w:rPr>
                  </w:pPr>
                  <w:r w:rsidRPr="00881197">
                    <w:rPr>
                      <w:rFonts w:ascii="Times New Roman" w:eastAsia="Times New Roman" w:hAnsi="Times New Roman" w:cs="Times New Roman"/>
                      <w:b/>
                      <w:bCs/>
                      <w:sz w:val="24"/>
                      <w:szCs w:val="24"/>
                      <w:lang w:eastAsia="tr-TR"/>
                    </w:rPr>
                    <w:t>DEĞİŞİKLİK YAPILMASINA DAİR TEBLİĞ</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 –</w:t>
                  </w:r>
                  <w:r w:rsidRPr="00881197">
                    <w:rPr>
                      <w:rFonts w:ascii="Times New Roman" w:eastAsia="Times New Roman" w:hAnsi="Times New Roman" w:cs="Times New Roman"/>
                      <w:sz w:val="24"/>
                      <w:szCs w:val="24"/>
                      <w:lang w:eastAsia="tr-TR"/>
                    </w:rPr>
                    <w:t> 24/3/2013 tarihli ve 28597 sayılı Resmî Gazete’de yayımlanan Sosyal Güvenlik Kurumu Sağlık Uygulama Tebliğinin 1.5.1 numaralı maddesinin üçüncü fıkrası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“(3) Acil haller dışında sözleşmesiz özel sağlık hizmeti sunucularından alınan sağlık hizmeti bedelleri Kurumca ödenmez. Sözleşmesiz özel sağlık hizmeti sunucularından acil hallerde alınan sağlık hizmetlerinin bedellerinin ödenebilmesi için bu durumun Kurum inceleme birimlerince kabul edilmesi gerekmektedir.”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 – </w:t>
                  </w:r>
                  <w:r w:rsidRPr="00881197">
                    <w:rPr>
                      <w:rFonts w:ascii="Times New Roman" w:eastAsia="Times New Roman" w:hAnsi="Times New Roman" w:cs="Times New Roman"/>
                      <w:sz w:val="24"/>
                      <w:szCs w:val="24"/>
                      <w:lang w:eastAsia="tr-TR"/>
                    </w:rPr>
                    <w:t>Aynı Tebliğin 1.5.1.Ç-1 numaralı maddesinin birinci fıkrasının (b) bendinin (1) numaralı alt bendi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 Acil haller nedeniyle yapılan müracaatlar. Hasta müracaatının söz konusu durum nedeniyle yapıldığının Kurum inceleme birimlerince kabul edilmesi gerekmektedir.”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3 – </w:t>
                  </w:r>
                  <w:r w:rsidRPr="00881197">
                    <w:rPr>
                      <w:rFonts w:ascii="Times New Roman" w:eastAsia="Times New Roman" w:hAnsi="Times New Roman" w:cs="Times New Roman"/>
                      <w:sz w:val="24"/>
                      <w:szCs w:val="24"/>
                      <w:lang w:eastAsia="tr-TR"/>
                    </w:rPr>
                    <w:t>Aynı Tebliğin 2.4.1.A numaralı maddesinin birinci fıkrasının dördüncü cümlesinde yer alan “Bu listede yer alan işlemler,” ibaresinden sonra gelmek üzere “401.051, 401.060, 401.070, 401.080, 401.090, 401.100, 401.110, 401.120, 401.130, 401.135, 401.150 işlem kodları ve” ibaresi eklenmiş, aynı cümlede yer alan “%10” ibaresi “%30” şeklinde değiştirilmiş ve aynı fıkranın son cümlesi yürürlükten kaldırılmıştır.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4 –</w:t>
                  </w:r>
                  <w:r w:rsidRPr="00881197">
                    <w:rPr>
                      <w:rFonts w:ascii="Times New Roman" w:eastAsia="Times New Roman" w:hAnsi="Times New Roman" w:cs="Times New Roman"/>
                      <w:sz w:val="24"/>
                      <w:szCs w:val="24"/>
                      <w:lang w:eastAsia="tr-TR"/>
                    </w:rPr>
                    <w:t> Aynı Tebliğin 2.4.4.H numaralı maddesinin birinci fıkrasının sonuna aşağıdaki cümleler eklenmiştir.</w:t>
                  </w:r>
                </w:p>
                <w:p w:rsidR="00881197" w:rsidRPr="00881197" w:rsidRDefault="00881197" w:rsidP="00881197">
                  <w:pPr>
                    <w:spacing w:after="0" w:line="240" w:lineRule="atLeast"/>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“Sağlık Bakanlığı tarafından herhangi bir nedenle seviyelendirilmemiş yoğun bakım yataklarında verilen tedaviler birinci basamak yoğun bakım fiyatından faturalandırılır. Tescil edilmemiş yoğun bakım yataklarında verilen tedaviler ise faturalandırılamaz.”</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5 –</w:t>
                  </w:r>
                  <w:r w:rsidRPr="00881197">
                    <w:rPr>
                      <w:rFonts w:ascii="Times New Roman" w:eastAsia="Times New Roman" w:hAnsi="Times New Roman" w:cs="Times New Roman"/>
                      <w:sz w:val="24"/>
                      <w:szCs w:val="24"/>
                      <w:lang w:eastAsia="tr-TR"/>
                    </w:rPr>
                    <w:t> Aynı Tebliğin 3.1.1 numaralı maddesinin üçüncü fıkrası yürürlükten kaldırılmıştır.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6 –</w:t>
                  </w:r>
                  <w:r w:rsidRPr="00881197">
                    <w:rPr>
                      <w:rFonts w:ascii="Times New Roman" w:eastAsia="Times New Roman" w:hAnsi="Times New Roman" w:cs="Times New Roman"/>
                      <w:sz w:val="24"/>
                      <w:szCs w:val="24"/>
                      <w:lang w:eastAsia="tr-TR"/>
                    </w:rPr>
                    <w:t> Aynı Tebliğin 3.1.1 numaralı maddesine aşağıdaki fıkralar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“(15) Tıbbi malzeme alan tanımları (SUT kodları), SUT eki EK-3 listelerinde yer almaktadır. Tıbbi malzemeler bu SUT kodları ile Kuruma fatura edilebilecek olmakla birlikte, SUT eki EK-3 listelerinde yer alan SUT kodlarının, SUT eki işlem listelerinde (EK-2/B, EK-2/C gibi) yer alan SUT işlem kodlarına ilave olarak ayrıca faturalandırılabilmesi için SUT veya eklerinde ilgili tıbbi malzemenin işlem bedeline ilave olarak faturalandırılabileceğinin belirtilmiş olması gerekmektedir.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(16) Tıbbi malzeme imal veya ithal eden firmalar tıbbi malzemelerini; Kurumca duyurulan yöntemlerle ve/veya Kurumca yayınlanan Tıbbi Malzeme Başvuru Kılavuzu kapsamında SUT eki EK-3 listelerindeki tıbbi malzeme alan tanımlarına (SUT kodlarına), küresel ürün numarası (barkod) bazında tanımlar. SUT kodları bazında MEDULA sisteminde işlem tarihinde tanımlı olmayan tıbbi malzemelerin bedelleri Kurumca karşılanmaz.</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(17) Barkod-SUT kodu eşleştirmelerinin hatalı olduğunun herhangi bir şekilde tespit edilmesi veya tıbbi malzemelerin Kurumca belirlenen kural ve/veya kriterlere uygunsuz bir şekilde fatura edilmesi halinde, söz konusu tıbbi malzeme bedelleri ödenmez, ödenmiş ise ilgililerden yersiz ödeme kapsamında tahsil edilir.”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7 – </w:t>
                  </w:r>
                  <w:r w:rsidRPr="00881197">
                    <w:rPr>
                      <w:rFonts w:ascii="Times New Roman" w:eastAsia="Times New Roman" w:hAnsi="Times New Roman" w:cs="Times New Roman"/>
                      <w:sz w:val="24"/>
                      <w:szCs w:val="24"/>
                      <w:lang w:eastAsia="tr-TR"/>
                    </w:rPr>
                    <w:t>Aynı Tebliğin 3.1.4 numaralı maddesinde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İkinci fıkrasının (a) bendine “ankor,” ibaresi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Üçüncü fıkrası yürürlükten kaldırılmıştır.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lastRenderedPageBreak/>
                    <w:t>MADDE 8 – </w:t>
                  </w:r>
                  <w:r w:rsidRPr="00881197">
                    <w:rPr>
                      <w:rFonts w:ascii="Times New Roman" w:eastAsia="Times New Roman" w:hAnsi="Times New Roman" w:cs="Times New Roman"/>
                      <w:sz w:val="24"/>
                      <w:szCs w:val="24"/>
                      <w:lang w:eastAsia="tr-TR"/>
                    </w:rPr>
                    <w:t>Aynı Tebliğin 3.3.1 numaralı maddesinde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Onuncu fıkrasının (a) bendine aşağıdaki cümle eklenmiştir.</w:t>
                  </w:r>
                </w:p>
                <w:p w:rsidR="00881197" w:rsidRPr="00881197" w:rsidRDefault="00881197" w:rsidP="00881197">
                  <w:pPr>
                    <w:spacing w:after="0" w:line="240" w:lineRule="atLeast"/>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“Ebatları 100 cm2 ye kadar (100 cm2 dâhil) olan deri eşdeğerleri küçük, 101-225 cm2 arası (225 cm2 dâhil) olan deri eşdeğerleri orta, 226 cm2’nin üzerinde olan deri eşdeğerleri büyük olarak kabul edilir.”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On üçüncü fıkrasının birinci cümlesinde yer alan “hekiminin” ibaresi “hekimlerinden birinin” olarak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9 –</w:t>
                  </w:r>
                  <w:r w:rsidRPr="00881197">
                    <w:rPr>
                      <w:rFonts w:ascii="Times New Roman" w:eastAsia="Times New Roman" w:hAnsi="Times New Roman" w:cs="Times New Roman"/>
                      <w:sz w:val="24"/>
                      <w:szCs w:val="24"/>
                      <w:lang w:eastAsia="tr-TR"/>
                    </w:rPr>
                    <w:t> Aynı Tebliğin 4.1.2 numaralı maddesinin üçüncü fıkrasının birinci cümlesinden sonra gelmek üzere aşağıdaki cümle eklenmiştir.</w:t>
                  </w:r>
                </w:p>
                <w:p w:rsidR="00881197" w:rsidRPr="00881197" w:rsidRDefault="00881197" w:rsidP="00881197">
                  <w:pPr>
                    <w:spacing w:after="0" w:line="240" w:lineRule="atLeast"/>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“Ancak Hastanelerce Temini Zorunlu Kemoterapi İlaçları Listesi (EK-4/H)’nde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 sağlık kurumuna iade edilir.”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10 –</w:t>
                  </w:r>
                  <w:r w:rsidRPr="00881197">
                    <w:rPr>
                      <w:rFonts w:ascii="Times New Roman" w:eastAsia="Times New Roman" w:hAnsi="Times New Roman" w:cs="Times New Roman"/>
                      <w:sz w:val="24"/>
                      <w:szCs w:val="24"/>
                      <w:lang w:eastAsia="tr-TR"/>
                    </w:rPr>
                    <w:t> Aynı Tebliğin 4.2.24.B numaralı maddesinin birinci fıkrasında yer alan “indakaterol” ibaresinden sonra gelmek üzere “, glikopironyum” ibaresi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11 –</w:t>
                  </w:r>
                  <w:r w:rsidRPr="00881197">
                    <w:rPr>
                      <w:rFonts w:ascii="Times New Roman" w:eastAsia="Times New Roman" w:hAnsi="Times New Roman" w:cs="Times New Roman"/>
                      <w:sz w:val="24"/>
                      <w:szCs w:val="24"/>
                      <w:lang w:eastAsia="tr-TR"/>
                    </w:rPr>
                    <w:t> Aynı Tebliğin 4.3 numaralı maddesinin dördüncü fıkrası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“(4) EK-4/C Listesinde yer alan ilaçların kişilerin kendi imkânları ile (yurt dışından veya yurt içinden) temini halinde, ilaç bedelleri Kurumca belirlenen mevzuat kapsamında hak sahibi adına banka aracılığıyla ödenir. Bu şekilde ödemesi yapılacak ilacın bedeli, farklı finansal modeller kapsamında değerlendirilen ilaçlar dahil olmak üzere, aynı ilacın Kuruma mal oluş bedelinden fazla olamaz. Farklı finansal modeller kapsamında değerlendirilen ve Kurumun internet sayfasında kamu baz fiyatları (ilacın 11/12/2015 tarihli ve 29559 sayılı Resmî Gazete’de yayımlanan Beşeri Tıbbi Ürünlerin Fiyatlandırılması Hakkında Tebliğde yer alan güncel referans ülkelerdeki veya bu referans ülkelerde ruhsatlı olmaması halinde ruhsatlı olduğu Avrupa ülkelerindeki en düşük depocuya satış fiyatından yüksek olmamak koşulu ile farklı finansal model sözleşmeleri kapsamında belirlenen fiyat) yayımlanan yurtdışı ilaçları hak sahiplerinin kendi imkanlarıyla temin etmeleri halinde ilaç bedelleri; ilacın Kurumla protokolü bulunan tedarikçiden protokollerde belirlenen süreler dahilinde temin edilemediğinin belgelenmesi kaydıyla Kuruma mal oluş bedeli üzerinden ödenir.”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12 – </w:t>
                  </w:r>
                  <w:r w:rsidRPr="00881197">
                    <w:rPr>
                      <w:rFonts w:ascii="Times New Roman" w:eastAsia="Times New Roman" w:hAnsi="Times New Roman" w:cs="Times New Roman"/>
                      <w:sz w:val="24"/>
                      <w:szCs w:val="24"/>
                      <w:lang w:eastAsia="tr-TR"/>
                    </w:rPr>
                    <w:t>Aynı Tebliğin 5.2.1 numaralı maddesinin ikinci fıkrasının (b) bendinde yer alan “palyatif bakım tedavisine ait işlemlerin” ibaresinden sonra gelmek üzere “, genel sağlık sigortalısı veya genel sağlık sigortalısının bakmakla yükümlü olduğu kişisi sayılan yabancı ülke vatandaşlarına ait işlemlerin” ibaresi eklenmiştir.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13 – </w:t>
                  </w:r>
                  <w:r w:rsidRPr="00881197">
                    <w:rPr>
                      <w:rFonts w:ascii="Times New Roman" w:eastAsia="Times New Roman" w:hAnsi="Times New Roman" w:cs="Times New Roman"/>
                      <w:sz w:val="24"/>
                      <w:szCs w:val="24"/>
                      <w:lang w:eastAsia="tr-TR"/>
                    </w:rPr>
                    <w:t>Aynı Tebliğin İstisnai Sağlık Hizmetleri Listesi (EK-1/C)’nde yer alan “P600740” SUT kodlu “Vasküler lezyon, lazer (Alt ekstremite yüzeyel variköz ven ve cherry anjiyom endikasyonlarında uygulandığında)” işlemi yürürlükten kaldırılmıştır.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14 – </w:t>
                  </w:r>
                  <w:r w:rsidRPr="00881197">
                    <w:rPr>
                      <w:rFonts w:ascii="Times New Roman" w:eastAsia="Times New Roman" w:hAnsi="Times New Roman" w:cs="Times New Roman"/>
                      <w:sz w:val="24"/>
                      <w:szCs w:val="24"/>
                      <w:lang w:eastAsia="tr-TR"/>
                    </w:rPr>
                    <w:t>Aynı Tebliğin Hizmet Başı İşlem Puan Listesi (EK-2/B)’nde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Listede fiyatı artan işlemler aşağıdaki tabloda belirtilmiştir.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7BEE4B1F" wp14:editId="7FC4EFB3">
                        <wp:extent cx="4429125" cy="1987550"/>
                        <wp:effectExtent l="0" t="0" r="9525" b="0"/>
                        <wp:docPr id="12" name="Resim 12" descr="http://www.resmigazete.gov.tr/eskiler/2016/01/20160118-2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6/01/20160118-2_dosyalar/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98755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Listede açıklama ve işlem puanı değişikliği yapılan işlemler aşağıdaki tabloda belirtilmiştir.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412CA794" wp14:editId="6925B4DA">
                        <wp:extent cx="4429125" cy="1033780"/>
                        <wp:effectExtent l="0" t="0" r="9525" b="0"/>
                        <wp:docPr id="11" name="Resim 11" descr="http://www.resmigazete.gov.tr/eskiler/2016/01/20160118-2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6/01/20160118-2_dosyalar/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03378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c) Listede açıklama değişikliği yapılan işlemler aşağıdaki tabloda belirtilmiştir.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6697F219" wp14:editId="6E2FA04A">
                        <wp:extent cx="4429125" cy="1438910"/>
                        <wp:effectExtent l="0" t="0" r="9525" b="8890"/>
                        <wp:docPr id="10" name="Resim 10" descr="http://www.resmigazete.gov.tr/eskiler/2016/01/20160118-2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migazete.gov.tr/eskiler/2016/01/20160118-2_dosyalar/image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143891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15 – </w:t>
                  </w:r>
                  <w:r w:rsidRPr="00881197">
                    <w:rPr>
                      <w:rFonts w:ascii="Times New Roman" w:eastAsia="Times New Roman" w:hAnsi="Times New Roman" w:cs="Times New Roman"/>
                      <w:sz w:val="24"/>
                      <w:szCs w:val="24"/>
                      <w:lang w:eastAsia="tr-TR"/>
                    </w:rPr>
                    <w:t>Aynı Tebliğin Tanıya Dayalı İşlem Puan Listesi (EK-2/C)’nde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Listede açıklama ve işlem puanı değişikliği yapılan işlem aşağıdaki tabloda belirtilmiştir.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342536B6" wp14:editId="12B0B977">
                        <wp:extent cx="4429125" cy="810895"/>
                        <wp:effectExtent l="0" t="0" r="9525" b="8255"/>
                        <wp:docPr id="9" name="Resim 9" descr="http://www.resmigazete.gov.tr/eskiler/2016/01/20160118-2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6/01/20160118-2_dosyalar/image00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810895"/>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Listede açıklama değişikliği yapılan işlemler aşağıdaki tabloda belirtilmiştir.</w:t>
                  </w:r>
                </w:p>
                <w:p w:rsid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20C7B970" wp14:editId="2921C1CD">
                        <wp:extent cx="4429125" cy="1677670"/>
                        <wp:effectExtent l="0" t="0" r="9525" b="0"/>
                        <wp:docPr id="8" name="Resim 8" descr="http://www.resmigazete.gov.tr/eskiler/2016/01/20160118-2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migazete.gov.tr/eskiler/2016/01/20160118-2_dosyalar/image0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677670"/>
                                </a:xfrm>
                                <a:prstGeom prst="rect">
                                  <a:avLst/>
                                </a:prstGeom>
                                <a:noFill/>
                                <a:ln>
                                  <a:noFill/>
                                </a:ln>
                              </pic:spPr>
                            </pic:pic>
                          </a:graphicData>
                        </a:graphic>
                      </wp:inline>
                    </w:drawing>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16 –</w:t>
                  </w:r>
                  <w:r w:rsidRPr="00881197">
                    <w:rPr>
                      <w:rFonts w:ascii="Times New Roman" w:eastAsia="Times New Roman" w:hAnsi="Times New Roman" w:cs="Times New Roman"/>
                      <w:sz w:val="24"/>
                      <w:szCs w:val="24"/>
                      <w:lang w:eastAsia="tr-TR"/>
                    </w:rPr>
                    <w:t> Aynı Tebliğ ekinde yer alan Birden Fazla Branşta Kullanılan Tıbbi Malzemeler Listesi (EK-3/A)’nde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Listede yer alan “ULTRASONİK UÇLAR” başlığı ile “OR3300” SUT kodlu tıbbi malzeme yürürlükten kaldırılmıştır.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Listede “ALLOPLASTİK BİYOMATERYAL İMPLANTLAR (POLİETİLEN/SİLİKON)” başlığı altında yer alan ödeme kural ve/veya kriterleri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 Kranial deformitelerde, kranio fasiyel olgularda, kafa kaidesi kırıklarında, maxillofasiyal fraktür vakalarında,kraniosinostoz, komplike kırıklar ve komplike rekonstrüksiyon vakalarında; üçüncü basamak resmi sağlık kurumlarında kullanılması halinde Kurumca bedelleri karşılanır.”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c) Listede “DERİ EŞDEĞERLERİ (SENTETİK/HAYVAN KAYNAKLI)” başlığı altında yer alan ödeme kural ve/veya kriterleri “SUT’un 3.3.1(10) numaralı maddesine bakınız.” şeklinde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ç) Listede “REKONSTRÜKSİYON PLAK VİDASI, TİTANYUM” başlığı altında yer alan ödeme kural ve/veya kriterleri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 Beyin ve Sinir Cerrahisi, Plastik ve Rekonstruktif Cerrahi ve Kulak Burun Boğaz uzman hekimleri tarafından düzenlenen heyet raporu ile kraniosinostoz, kranial deformitelerde, konjenital anomaliler ve rekonstrüktifcerrahide, kullanılması halinde Kurumca bedeli karşılanır.”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d) Listede “REKONSTRÜKSİYON PLAK, TİTANYUM (≥2.0mm)” başlığı altında yer alan ödeme kural ve/veya kriterleri aşağıdaki şekilde değiştirilmiştir.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 Beyin ve Sinir Cerrahisi, Plastik ve Rekonstruktif Cerrahi ve Kulak Burun Boğaz uzman hekimleri tarafından düzenlenen heyet raporu ile, kraniosinostoz, kranial deformitelerde, konjenital anomaliler ve rekonstrüktifcerrahide, kullanılması halinde Kurumca bedeli karşılanır.”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17 – </w:t>
                  </w:r>
                  <w:r w:rsidRPr="00881197">
                    <w:rPr>
                      <w:rFonts w:ascii="Times New Roman" w:eastAsia="Times New Roman" w:hAnsi="Times New Roman" w:cs="Times New Roman"/>
                      <w:sz w:val="24"/>
                      <w:szCs w:val="24"/>
                      <w:lang w:eastAsia="tr-TR"/>
                    </w:rPr>
                    <w:t>Aynı Tebliğin Eksternal Alt ve Üst Ekstremite/Gövde Protez Ortezler Listesi (Ek-3/C-2)’ndeaşağıdaki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Listede yer alan “OP1343” SUT kodlu tıbbi malzemenin “Özel Koşullar” bölümüne “Alüminyum alaşımları/titanyum/karbon kompozitten üretilmiş 11-15 kg ağırlığına sahip, baş ve ayak desteği gibi aksesuarlar eklenebilen arka tekerlekleri çıkarılarak katlanabilen, iç ve dış mekanlarda kullanılabilen,” ibaresi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Listede yer alan “OP1344” SUT kodlu tıbbi malzemenin “Özel Koşullar” bölümüne “Alüminyum alaşımları/titanyum/karbon kompozitten üretilen, oturma genişliği 26-38 cm seçilebilen, çocuk hastanın ihtiyaçlarına göre aksesuarlar eklenebilen, ağırlığı 9-12 kg arasında olan, okulda kullanılabilmesi için masa eklenebilen” ibaresi eklenmiş ve aynı tıbbi malzemenin ödeme kural ve/veya kriterlerinde yer alan “tekerlekli sandalyeyi hastanın kendisinin kullanabileceğinin,” ibaresi yürürlükten kaldırılmıştır.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c) Listede “Myoelektrik Kontrollü Üst Ekstremite Protezleri” başlığının altında yer alan ödeme kural ve/veyakriterlerinin ikinci fıkrasına “Eskişehir Osmangazi Üniversitesi” ibaresinden sonra gelmek üzere “, Marmara Üniversitesi Pendik Eğitim ve Araştırma Hastanesi” ibaresi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ç) Listenin sonunda yer alan “Özel Koşullar” bölümünün (18) ile (19) numaralı maddelerine “Eskişehir Osmangazi Üniversitesi” ibarelerinden sonra gelmek üzere “, Marmara Üniversitesi Pendik Eğitim ve Araştırma Hastanesi” ibaresi eklenmiştir.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18 –</w:t>
                  </w:r>
                  <w:r w:rsidRPr="00881197">
                    <w:rPr>
                      <w:rFonts w:ascii="Times New Roman" w:eastAsia="Times New Roman" w:hAnsi="Times New Roman" w:cs="Times New Roman"/>
                      <w:sz w:val="24"/>
                      <w:szCs w:val="24"/>
                      <w:lang w:eastAsia="tr-TR"/>
                    </w:rPr>
                    <w:t> Aynı Tebliğin Diğer Protez Ortezler Listesi (Ek-3/C-3)’nde yer alan “DO1004” SUT kodlu “Digital Programlanabilir İşitme Cihazı” adlı tıbbi malzemenin fiyatı “555,00” olarak değiştirilmiştir.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19 –</w:t>
                  </w:r>
                  <w:r w:rsidRPr="00881197">
                    <w:rPr>
                      <w:rFonts w:ascii="Times New Roman" w:eastAsia="Times New Roman" w:hAnsi="Times New Roman" w:cs="Times New Roman"/>
                      <w:sz w:val="24"/>
                      <w:szCs w:val="24"/>
                      <w:lang w:eastAsia="tr-TR"/>
                    </w:rPr>
                    <w:t> Aynı Tebliğin Omurga Cerrahisi Alan Grubuna Ait Tıbbi Malzemeler Listesi (EK-3/E-1)’nde yer alan “103103” SUT kodlu tıbbi malzemenin ödeme kural ve/veya kriterlerinden sonra gelmek üzere aşağıdaki tıbbi malzeme eklenmiştir.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0F148D39" wp14:editId="227A7C94">
                        <wp:extent cx="4429125" cy="1336040"/>
                        <wp:effectExtent l="0" t="0" r="9525" b="0"/>
                        <wp:docPr id="7" name="Resim 7" descr="http://www.resmigazete.gov.tr/eskiler/2016/01/20160118-2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migazete.gov.tr/eskiler/2016/01/20160118-2_dosyalar/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33604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20 – </w:t>
                  </w:r>
                  <w:r w:rsidRPr="00881197">
                    <w:rPr>
                      <w:rFonts w:ascii="Times New Roman" w:eastAsia="Times New Roman" w:hAnsi="Times New Roman" w:cs="Times New Roman"/>
                      <w:sz w:val="24"/>
                      <w:szCs w:val="24"/>
                      <w:lang w:eastAsia="tr-TR"/>
                    </w:rPr>
                    <w:t>Aynı Tebliğin Beyin Cerrahisi Branşı Kranial Alan Grubuna Ait Tıbbi Malzemeler Listesi (EK-3/E-2)’nde yer alan “KN1104” SUT kodlu tıbbi malzemenin fiyatı aşağıdaki şekilde değiştirilmiştir.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500A0E6F" wp14:editId="2CD89BE8">
                        <wp:extent cx="4429125" cy="492760"/>
                        <wp:effectExtent l="0" t="0" r="9525" b="2540"/>
                        <wp:docPr id="6" name="Resim 6" descr="http://www.resmigazete.gov.tr/eskiler/2016/01/20160118-2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smigazete.gov.tr/eskiler/2016/01/20160118-2_dosyalar/image01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49276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21 –</w:t>
                  </w:r>
                  <w:r w:rsidRPr="00881197">
                    <w:rPr>
                      <w:rFonts w:ascii="Times New Roman" w:eastAsia="Times New Roman" w:hAnsi="Times New Roman" w:cs="Times New Roman"/>
                      <w:sz w:val="24"/>
                      <w:szCs w:val="24"/>
                      <w:lang w:eastAsia="tr-TR"/>
                    </w:rPr>
                    <w:t> Aynı Tebliğin Ortopedi ve Travmatoloji Branşı Artroplasti Alan Grubuna Ait Tıbbi Malzemeler Listesi (EK-3/F-1)’nde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Listede yer alan “AP3270” SUT kodlu tıbbi malzemeden sonra gelmek üzere aşağıdaki tıbbi malzeme eklenmiştir.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0CE1D61F" wp14:editId="4EE017A3">
                        <wp:extent cx="4429125" cy="826770"/>
                        <wp:effectExtent l="0" t="0" r="9525" b="0"/>
                        <wp:docPr id="5" name="Resim 5" descr="http://www.resmigazete.gov.tr/eskiler/2016/01/20160118-2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smigazete.gov.tr/eskiler/2016/01/20160118-2_dosyalar/image01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125" cy="82677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Listenin “Genel Hükümler” başlığına aşağıdaki fıkra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“(21) Bu listede yer alan “AP3275” SUT kodlu “ULTRASONİK CERRAHİ UÇ, ÇİMENTO TEMİZLEYİCİ” isimli malzemenin sadece üçüncü basamak resmi sağlık kurumlarında çimento ve/veya çimentolu stem kullanılmış P612430, 612430, P612440, 612440, P612441, 612441, P612471, 612471, P612472, 612472, P612480, 612480, P612490, 612490, P612500, 612500, P612501, 612501 kodlu işlemlerde kullanılması kaydıyla, vaka başına en fazla ikiadetinin bedeli Kurumca karşılanır.”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22 –</w:t>
                  </w:r>
                  <w:r w:rsidRPr="00881197">
                    <w:rPr>
                      <w:rFonts w:ascii="Times New Roman" w:eastAsia="Times New Roman" w:hAnsi="Times New Roman" w:cs="Times New Roman"/>
                      <w:sz w:val="24"/>
                      <w:szCs w:val="24"/>
                      <w:lang w:eastAsia="tr-TR"/>
                    </w:rPr>
                    <w:t> Aynı Tebliğin Kardiyoloji Branşına Ait Tıbbi Malzemeler Listesi (EK-3/H)’nde yer alan “KR1202” SUT kodlu tıbbi malzemenin altına ödeme kriteri ve/veya kuralı olarak aşağıdaki fıkra eklenmiştir.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“(1) Semptomatik dilate (iskemik veya non iskemik) kardiyomiyopatisi olup ciddi fonksiyonel mitral yetmezliği bulunan ve mitral kapağa yönelik cerrahi girişim açısından inoperabl olarak değerlendirilen hastalarda 2 kardiyolog ve 2 Kalp ve Damar Cerrahisi uzmanı (KVC), 1 anestezi ve reanimasyon uzmanı tarafından düzenlenen konsey kararı ile 2000/Yıl kardiyak kateterizasyon (en az 300/Yıl tedavi amaçlı girişim) ve 250/Yıl açık kalp cerrahisi yapılan 3 üncü basamak Sağlık Bakanlığı hastaneleri veya 3 üncü basamak Türk Silahlı Kuvvetleri hastanelerinde kullanılması halinde kurumca bedeli karşılanır.”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bookmarkStart w:id="0" w:name="_GoBack"/>
                  <w:r w:rsidRPr="00881197">
                    <w:rPr>
                      <w:rFonts w:ascii="Times New Roman" w:eastAsia="Times New Roman" w:hAnsi="Times New Roman" w:cs="Times New Roman"/>
                      <w:b/>
                      <w:bCs/>
                      <w:sz w:val="24"/>
                      <w:szCs w:val="24"/>
                      <w:lang w:eastAsia="tr-TR"/>
                    </w:rPr>
                    <w:t>MADDE 23 –</w:t>
                  </w:r>
                  <w:r w:rsidRPr="00881197">
                    <w:rPr>
                      <w:rFonts w:ascii="Times New Roman" w:eastAsia="Times New Roman" w:hAnsi="Times New Roman" w:cs="Times New Roman"/>
                      <w:sz w:val="24"/>
                      <w:szCs w:val="24"/>
                      <w:lang w:eastAsia="tr-TR"/>
                    </w:rPr>
                    <w:t> Aynı Tebliğin Kalp Damar Cerrahisi Alan Grubuna Ait Tıbbi Malzemeler Listesi (EK-3/I)’ndeyer alan “KV2002”, “KV2004”, “KV2005”, “KV2006”, “KV2007” SUT kodlu tıbbi malzemelerin fiyatları aşağıdaki şekilde değiştirilmiştir.</w:t>
                  </w:r>
                </w:p>
                <w:bookmarkEnd w:id="0"/>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05F7A0C9" wp14:editId="07DFE6F6">
                        <wp:extent cx="4429125" cy="1590040"/>
                        <wp:effectExtent l="0" t="0" r="9525" b="0"/>
                        <wp:docPr id="4" name="Resim 4" descr="http://www.resmigazete.gov.tr/eskiler/2016/01/20160118-2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smigazete.gov.tr/eskiler/2016/01/20160118-2_dosyalar/image01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159004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24 –</w:t>
                  </w:r>
                  <w:r w:rsidRPr="00881197">
                    <w:rPr>
                      <w:rFonts w:ascii="Times New Roman" w:eastAsia="Times New Roman" w:hAnsi="Times New Roman" w:cs="Times New Roman"/>
                      <w:sz w:val="24"/>
                      <w:szCs w:val="24"/>
                      <w:lang w:eastAsia="tr-TR"/>
                    </w:rPr>
                    <w:t> Aynı Tebliğin Xenogreft Ürün Grubu Listesi (EK-3N-2)’nde aşağıdaki düzenlemeler yapılmıştır.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“HG1170” SUT kodlu tıbbi malzemenin altında yer alan ödeme kural ve/veya kriterlerinin birinci fıkrasından önce gelmek üzere “Kollajen, periferik sinir rejenerasyon tüpü tüm boylar için;” ibaresi eklenmiştir.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Listenin sonuna “HG1170” SUT kodlu tıbbi malzemenin ödeme kural ve/veya kriterlerinden sonra gelmek üzere aşağıdaki Genel Hükümler eklenmiştir.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33AC17BA" wp14:editId="6C17026D">
                        <wp:extent cx="4429125" cy="882650"/>
                        <wp:effectExtent l="0" t="0" r="9525" b="0"/>
                        <wp:docPr id="3" name="Resim 3" descr="http://www.resmigazete.gov.tr/eskiler/2016/01/20160118-2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smigazete.gov.tr/eskiler/2016/01/20160118-2_dosyalar/image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882650"/>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25 – </w:t>
                  </w:r>
                  <w:r w:rsidRPr="00881197">
                    <w:rPr>
                      <w:rFonts w:ascii="Times New Roman" w:eastAsia="Times New Roman" w:hAnsi="Times New Roman" w:cs="Times New Roman"/>
                      <w:sz w:val="24"/>
                      <w:szCs w:val="24"/>
                      <w:lang w:eastAsia="tr-TR"/>
                    </w:rPr>
                    <w:t>Aynı Tebliğin Anesteziyoloji, Reanimasyon ve Ağrı Tedavisi Branşına Ait Tıbbi Malzemeler Listesi (EK-3/T)’nde yer alan “AN1020” SUT kodlu tıbbi malzemenin fiyatı aşağıdaki şekilde değiştirilmiştir.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49C4F0DB" wp14:editId="2358D2B5">
                        <wp:extent cx="4429125" cy="540385"/>
                        <wp:effectExtent l="0" t="0" r="9525" b="0"/>
                        <wp:docPr id="2" name="Resim 2" descr="http://www.resmigazete.gov.tr/eskiler/2016/01/20160118-2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smigazete.gov.tr/eskiler/2016/01/20160118-2_dosyalar/image02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9125" cy="540385"/>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26 –</w:t>
                  </w:r>
                  <w:r w:rsidRPr="00881197">
                    <w:rPr>
                      <w:rFonts w:ascii="Times New Roman" w:eastAsia="Times New Roman" w:hAnsi="Times New Roman" w:cs="Times New Roman"/>
                      <w:sz w:val="24"/>
                      <w:szCs w:val="24"/>
                      <w:lang w:eastAsia="tr-TR"/>
                    </w:rPr>
                    <w:t> Aynı Tebliğin Sistemik Antimikrobik ve Diğer İlaçların Reçeteleme Kuralları Listesi (EK-4/E)’nde yer alan “11-ANTİVİRAL İLAÇLAR” başlıklı kısmının “A) HIV/AIDS Tedavisinde Kullanılan Spesifik İlaçlar” adlı bölümüne aşağıdaki satır eklenmiştir.</w:t>
                  </w:r>
                </w:p>
                <w:p w:rsidR="00881197" w:rsidRPr="00881197" w:rsidRDefault="00881197" w:rsidP="00881197">
                  <w:pPr>
                    <w:spacing w:after="0"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noProof/>
                      <w:sz w:val="24"/>
                      <w:szCs w:val="24"/>
                      <w:lang w:eastAsia="tr-TR"/>
                    </w:rPr>
                    <w:drawing>
                      <wp:inline distT="0" distB="0" distL="0" distR="0" wp14:anchorId="219838BB" wp14:editId="67C522A4">
                        <wp:extent cx="4429125" cy="986155"/>
                        <wp:effectExtent l="0" t="0" r="9525" b="4445"/>
                        <wp:docPr id="1" name="Resim 1" descr="http://www.resmigazete.gov.tr/eskiler/2016/01/20160118-2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smigazete.gov.tr/eskiler/2016/01/20160118-2_dosyalar/image02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986155"/>
                                </a:xfrm>
                                <a:prstGeom prst="rect">
                                  <a:avLst/>
                                </a:prstGeom>
                                <a:noFill/>
                                <a:ln>
                                  <a:noFill/>
                                </a:ln>
                              </pic:spPr>
                            </pic:pic>
                          </a:graphicData>
                        </a:graphic>
                      </wp:inline>
                    </w:drawing>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27 –</w:t>
                  </w:r>
                  <w:r w:rsidRPr="00881197">
                    <w:rPr>
                      <w:rFonts w:ascii="Times New Roman" w:eastAsia="Times New Roman" w:hAnsi="Times New Roman" w:cs="Times New Roman"/>
                      <w:sz w:val="24"/>
                      <w:szCs w:val="24"/>
                      <w:lang w:eastAsia="tr-TR"/>
                    </w:rPr>
                    <w:t> Aynı Tebliğin Sadece Yatarak Tedavilerde Kullanımı Halinde Bedelleri Ödenecek İlaçlar Listesi (EK-4/G)’ne aşağıdaki madde eklenmiştir.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“58. Metilen mavisi; yalnızca ilaca ve kimyasal ürünlere bağlı methemoglobineminin akut semptomatiktedavisinde ve idiyopatik methemoglobinemi (hemoglobinde yapısal bir anormallik yokken) tedavisinde ödenir.”</w:t>
                  </w: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28 –</w:t>
                  </w:r>
                  <w:r w:rsidRPr="00881197">
                    <w:rPr>
                      <w:rFonts w:ascii="Times New Roman" w:eastAsia="Times New Roman" w:hAnsi="Times New Roman" w:cs="Times New Roman"/>
                      <w:sz w:val="24"/>
                      <w:szCs w:val="24"/>
                      <w:lang w:eastAsia="tr-TR"/>
                    </w:rPr>
                    <w:t> Bu Tebliğin;</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a) 24 üncü maddesinin (a) bendi ile aynı maddenin (b) bendinin “Genel hükümler” başlığının birinci fıkrası1/8/2014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b) 17 nci maddesinin (a) ve (b) bentleri 1/9/2015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c) 18 inci maddesi 11/9/2015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ç) 6 ncı maddesi 1/10/2015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d) 1 ve 2 nci maddeleri 1/11/2015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e) 9 uncu maddesi 1/12/2015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f) 3, 4 üncü maddeleri ve 12 ilâ 15 inci maddeleri 1/1/2016 tarihinden geçerli olmak üzere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g) 10, 26 ve 27 nci maddeleri yayımı tarihinden 5 iş günü sonra,</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ğ) 7 nci maddesinin (a) bendi, 8 inci maddesinin (b) bendi, 16 ncı maddesinin (a), (b), (ç) ve (d) bentleri, 17 ncimaddesinin (c) ve (ç) bentleri, 19 ilâ 21 inci maddeleri, 23 üncü maddesi, 24 üncü maddenin (b) bendinin “Genel hükümler” başlığının ikinci fıkrası ile 25 inci maddesi yayımı takip eden ayın ilk günü,</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h) 5 inci maddesi 1/2/2016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ı) 7 nci maddesinin (b) bendi, 8 inci maddesinin (a) bendi, 11 inci maddesi, 16 ncı maddesinin (c) bendi ile 22 ncimaddesi yayımı tarihinde,</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sz w:val="24"/>
                      <w:szCs w:val="24"/>
                      <w:lang w:eastAsia="tr-TR"/>
                    </w:rPr>
                    <w:t>yürürlüğe girer.</w:t>
                  </w:r>
                </w:p>
                <w:p w:rsidR="00881197" w:rsidRPr="00881197" w:rsidRDefault="00881197" w:rsidP="00881197">
                  <w:pPr>
                    <w:spacing w:after="0" w:line="240" w:lineRule="atLeast"/>
                    <w:ind w:firstLine="566"/>
                    <w:jc w:val="both"/>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sz w:val="24"/>
                      <w:szCs w:val="24"/>
                      <w:lang w:eastAsia="tr-TR"/>
                    </w:rPr>
                    <w:t>MADDE 29 –</w:t>
                  </w:r>
                  <w:r w:rsidRPr="00881197">
                    <w:rPr>
                      <w:rFonts w:ascii="Times New Roman" w:eastAsia="Times New Roman" w:hAnsi="Times New Roman" w:cs="Times New Roman"/>
                      <w:sz w:val="24"/>
                      <w:szCs w:val="24"/>
                      <w:lang w:eastAsia="tr-TR"/>
                    </w:rPr>
                    <w:t> Bu Tebliğ hükümlerini Sosyal Güvenlik Kurumu Başkanı yürütür.</w:t>
                  </w:r>
                </w:p>
                <w:p w:rsidR="00881197" w:rsidRPr="00881197" w:rsidRDefault="00881197" w:rsidP="0088119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81197">
                    <w:rPr>
                      <w:rFonts w:ascii="Times New Roman" w:eastAsia="Times New Roman" w:hAnsi="Times New Roman" w:cs="Times New Roman"/>
                      <w:b/>
                      <w:bCs/>
                      <w:color w:val="000080"/>
                      <w:sz w:val="24"/>
                      <w:szCs w:val="24"/>
                      <w:lang w:eastAsia="tr-TR"/>
                    </w:rPr>
                    <w:t> </w:t>
                  </w:r>
                </w:p>
              </w:tc>
            </w:tr>
          </w:tbl>
          <w:p w:rsidR="00881197" w:rsidRPr="00881197" w:rsidRDefault="00881197" w:rsidP="00881197">
            <w:pPr>
              <w:spacing w:after="0" w:line="240" w:lineRule="auto"/>
              <w:rPr>
                <w:rFonts w:ascii="Times New Roman" w:eastAsia="Times New Roman" w:hAnsi="Times New Roman" w:cs="Times New Roman"/>
                <w:sz w:val="24"/>
                <w:szCs w:val="24"/>
                <w:lang w:eastAsia="tr-TR"/>
              </w:rPr>
            </w:pPr>
          </w:p>
        </w:tc>
      </w:tr>
    </w:tbl>
    <w:p w:rsidR="00881197" w:rsidRPr="00881197" w:rsidRDefault="00881197" w:rsidP="00881197">
      <w:pPr>
        <w:spacing w:after="0" w:line="240" w:lineRule="auto"/>
        <w:jc w:val="center"/>
        <w:rPr>
          <w:rFonts w:ascii="Times New Roman" w:eastAsia="Times New Roman" w:hAnsi="Times New Roman" w:cs="Times New Roman"/>
          <w:color w:val="000000"/>
          <w:sz w:val="24"/>
          <w:szCs w:val="24"/>
          <w:lang w:eastAsia="tr-TR"/>
        </w:rPr>
      </w:pPr>
      <w:r w:rsidRPr="00881197">
        <w:rPr>
          <w:rFonts w:ascii="Times New Roman" w:eastAsia="Times New Roman" w:hAnsi="Times New Roman" w:cs="Times New Roman"/>
          <w:color w:val="000000"/>
          <w:sz w:val="24"/>
          <w:szCs w:val="24"/>
          <w:lang w:eastAsia="tr-TR"/>
        </w:rPr>
        <w:lastRenderedPageBreak/>
        <w:t> </w:t>
      </w:r>
    </w:p>
    <w:p w:rsidR="008B08F2" w:rsidRPr="00881197" w:rsidRDefault="008B08F2">
      <w:pPr>
        <w:rPr>
          <w:rFonts w:ascii="Times New Roman" w:hAnsi="Times New Roman" w:cs="Times New Roman"/>
          <w:sz w:val="24"/>
          <w:szCs w:val="24"/>
        </w:rPr>
      </w:pPr>
    </w:p>
    <w:sectPr w:rsidR="008B08F2" w:rsidRPr="0088119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92" w:rsidRDefault="00940C92" w:rsidP="00881197">
      <w:pPr>
        <w:spacing w:after="0" w:line="240" w:lineRule="auto"/>
      </w:pPr>
      <w:r>
        <w:separator/>
      </w:r>
    </w:p>
  </w:endnote>
  <w:endnote w:type="continuationSeparator" w:id="0">
    <w:p w:rsidR="00940C92" w:rsidRDefault="00940C92" w:rsidP="0088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62075"/>
      <w:docPartObj>
        <w:docPartGallery w:val="Page Numbers (Bottom of Page)"/>
        <w:docPartUnique/>
      </w:docPartObj>
    </w:sdtPr>
    <w:sdtContent>
      <w:p w:rsidR="00881197" w:rsidRDefault="00881197">
        <w:pPr>
          <w:pStyle w:val="Altbilgi"/>
          <w:jc w:val="right"/>
        </w:pPr>
        <w:r>
          <w:fldChar w:fldCharType="begin"/>
        </w:r>
        <w:r>
          <w:instrText>PAGE   \* MERGEFORMAT</w:instrText>
        </w:r>
        <w:r>
          <w:fldChar w:fldCharType="separate"/>
        </w:r>
        <w:r w:rsidR="00940C92">
          <w:rPr>
            <w:noProof/>
          </w:rPr>
          <w:t>1</w:t>
        </w:r>
        <w:r>
          <w:fldChar w:fldCharType="end"/>
        </w:r>
      </w:p>
    </w:sdtContent>
  </w:sdt>
  <w:p w:rsidR="00881197" w:rsidRDefault="008811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92" w:rsidRDefault="00940C92" w:rsidP="00881197">
      <w:pPr>
        <w:spacing w:after="0" w:line="240" w:lineRule="auto"/>
      </w:pPr>
      <w:r>
        <w:separator/>
      </w:r>
    </w:p>
  </w:footnote>
  <w:footnote w:type="continuationSeparator" w:id="0">
    <w:p w:rsidR="00940C92" w:rsidRDefault="00940C92" w:rsidP="00881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BF"/>
    <w:rsid w:val="00136864"/>
    <w:rsid w:val="00881197"/>
    <w:rsid w:val="008B08F2"/>
    <w:rsid w:val="00940C92"/>
    <w:rsid w:val="00E64AA5"/>
    <w:rsid w:val="00F22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1197"/>
  </w:style>
  <w:style w:type="character" w:customStyle="1" w:styleId="grame">
    <w:name w:val="grame"/>
    <w:basedOn w:val="VarsaylanParagrafYazTipi"/>
    <w:rsid w:val="00881197"/>
  </w:style>
  <w:style w:type="character" w:customStyle="1" w:styleId="spelle">
    <w:name w:val="spelle"/>
    <w:basedOn w:val="VarsaylanParagrafYazTipi"/>
    <w:rsid w:val="00881197"/>
  </w:style>
  <w:style w:type="paragraph" w:styleId="BalonMetni">
    <w:name w:val="Balloon Text"/>
    <w:basedOn w:val="Normal"/>
    <w:link w:val="BalonMetniChar"/>
    <w:uiPriority w:val="99"/>
    <w:semiHidden/>
    <w:unhideWhenUsed/>
    <w:rsid w:val="008811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197"/>
    <w:rPr>
      <w:rFonts w:ascii="Tahoma" w:hAnsi="Tahoma" w:cs="Tahoma"/>
      <w:sz w:val="16"/>
      <w:szCs w:val="16"/>
    </w:rPr>
  </w:style>
  <w:style w:type="paragraph" w:styleId="stbilgi">
    <w:name w:val="header"/>
    <w:basedOn w:val="Normal"/>
    <w:link w:val="stbilgiChar"/>
    <w:uiPriority w:val="99"/>
    <w:unhideWhenUsed/>
    <w:rsid w:val="008811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1197"/>
  </w:style>
  <w:style w:type="paragraph" w:styleId="Altbilgi">
    <w:name w:val="footer"/>
    <w:basedOn w:val="Normal"/>
    <w:link w:val="AltbilgiChar"/>
    <w:uiPriority w:val="99"/>
    <w:unhideWhenUsed/>
    <w:rsid w:val="008811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811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81197"/>
  </w:style>
  <w:style w:type="character" w:customStyle="1" w:styleId="grame">
    <w:name w:val="grame"/>
    <w:basedOn w:val="VarsaylanParagrafYazTipi"/>
    <w:rsid w:val="00881197"/>
  </w:style>
  <w:style w:type="character" w:customStyle="1" w:styleId="spelle">
    <w:name w:val="spelle"/>
    <w:basedOn w:val="VarsaylanParagrafYazTipi"/>
    <w:rsid w:val="00881197"/>
  </w:style>
  <w:style w:type="paragraph" w:styleId="BalonMetni">
    <w:name w:val="Balloon Text"/>
    <w:basedOn w:val="Normal"/>
    <w:link w:val="BalonMetniChar"/>
    <w:uiPriority w:val="99"/>
    <w:semiHidden/>
    <w:unhideWhenUsed/>
    <w:rsid w:val="008811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197"/>
    <w:rPr>
      <w:rFonts w:ascii="Tahoma" w:hAnsi="Tahoma" w:cs="Tahoma"/>
      <w:sz w:val="16"/>
      <w:szCs w:val="16"/>
    </w:rPr>
  </w:style>
  <w:style w:type="paragraph" w:styleId="stbilgi">
    <w:name w:val="header"/>
    <w:basedOn w:val="Normal"/>
    <w:link w:val="stbilgiChar"/>
    <w:uiPriority w:val="99"/>
    <w:unhideWhenUsed/>
    <w:rsid w:val="008811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1197"/>
  </w:style>
  <w:style w:type="paragraph" w:styleId="Altbilgi">
    <w:name w:val="footer"/>
    <w:basedOn w:val="Normal"/>
    <w:link w:val="AltbilgiChar"/>
    <w:uiPriority w:val="99"/>
    <w:unhideWhenUsed/>
    <w:rsid w:val="008811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2337</Words>
  <Characters>13325</Characters>
  <Application>Microsoft Office Word</Application>
  <DocSecurity>0</DocSecurity>
  <Lines>111</Lines>
  <Paragraphs>31</Paragraphs>
  <ScaleCrop>false</ScaleCrop>
  <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dc:creator>
  <cp:keywords/>
  <dc:description/>
  <cp:lastModifiedBy>Yonetim</cp:lastModifiedBy>
  <cp:revision>2</cp:revision>
  <dcterms:created xsi:type="dcterms:W3CDTF">2016-01-18T07:29:00Z</dcterms:created>
  <dcterms:modified xsi:type="dcterms:W3CDTF">2016-01-18T07:32:00Z</dcterms:modified>
</cp:coreProperties>
</file>