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shd w:val="clear" w:color="auto" w:fill="FFFFFF"/>
        <w:tblCellMar>
          <w:left w:w="0" w:type="dxa"/>
          <w:right w:w="0" w:type="dxa"/>
        </w:tblCellMar>
        <w:tblLook w:val="04A0"/>
      </w:tblPr>
      <w:tblGrid>
        <w:gridCol w:w="2925"/>
        <w:gridCol w:w="2925"/>
        <w:gridCol w:w="2940"/>
      </w:tblGrid>
      <w:tr w:rsidR="001E4A9B" w:rsidRPr="001E4A9B" w:rsidTr="001E4A9B">
        <w:trPr>
          <w:trHeight w:val="315"/>
        </w:trPr>
        <w:tc>
          <w:tcPr>
            <w:tcW w:w="2925" w:type="dxa"/>
            <w:shd w:val="clear" w:color="auto" w:fill="FFFFFF"/>
            <w:vAlign w:val="center"/>
            <w:hideMark/>
          </w:tcPr>
          <w:p w:rsidR="001E4A9B" w:rsidRPr="001E4A9B" w:rsidRDefault="001E4A9B" w:rsidP="001E4A9B">
            <w:pPr>
              <w:spacing w:after="150" w:line="312" w:lineRule="atLeast"/>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25 Ağustos 2016 PERŞEMBE</w:t>
            </w:r>
          </w:p>
        </w:tc>
        <w:tc>
          <w:tcPr>
            <w:tcW w:w="2925" w:type="dxa"/>
            <w:shd w:val="clear" w:color="auto" w:fill="FFFFFF"/>
            <w:vAlign w:val="center"/>
            <w:hideMark/>
          </w:tcPr>
          <w:p w:rsidR="001E4A9B" w:rsidRPr="001E4A9B" w:rsidRDefault="001E4A9B" w:rsidP="001E4A9B">
            <w:pPr>
              <w:spacing w:after="150" w:line="312" w:lineRule="atLeast"/>
              <w:jc w:val="center"/>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800080"/>
                <w:sz w:val="18"/>
                <w:lang w:eastAsia="tr-TR"/>
              </w:rPr>
              <w:t>Resmî Gazete</w:t>
            </w:r>
          </w:p>
        </w:tc>
        <w:tc>
          <w:tcPr>
            <w:tcW w:w="2925" w:type="dxa"/>
            <w:shd w:val="clear" w:color="auto" w:fill="FFFFFF"/>
            <w:vAlign w:val="center"/>
            <w:hideMark/>
          </w:tcPr>
          <w:p w:rsidR="001E4A9B" w:rsidRPr="001E4A9B" w:rsidRDefault="001E4A9B" w:rsidP="001E4A9B">
            <w:pPr>
              <w:spacing w:after="150" w:line="312" w:lineRule="atLeast"/>
              <w:rPr>
                <w:rFonts w:ascii="Verdana" w:eastAsia="Times New Roman" w:hAnsi="Verdana" w:cs="Times New Roman"/>
                <w:color w:val="000000"/>
                <w:sz w:val="18"/>
                <w:szCs w:val="18"/>
                <w:lang w:eastAsia="tr-TR"/>
              </w:rPr>
            </w:pPr>
            <w:proofErr w:type="gramStart"/>
            <w:r w:rsidRPr="001E4A9B">
              <w:rPr>
                <w:rFonts w:ascii="Verdana" w:eastAsia="Times New Roman" w:hAnsi="Verdana" w:cs="Times New Roman"/>
                <w:color w:val="000000"/>
                <w:sz w:val="18"/>
                <w:szCs w:val="18"/>
                <w:lang w:eastAsia="tr-TR"/>
              </w:rPr>
              <w:t>Sayı : 29812</w:t>
            </w:r>
            <w:proofErr w:type="gramEnd"/>
          </w:p>
        </w:tc>
      </w:tr>
      <w:tr w:rsidR="001E4A9B" w:rsidRPr="001E4A9B" w:rsidTr="001E4A9B">
        <w:trPr>
          <w:trHeight w:val="480"/>
        </w:trPr>
        <w:tc>
          <w:tcPr>
            <w:tcW w:w="8790" w:type="dxa"/>
            <w:gridSpan w:val="3"/>
            <w:shd w:val="clear" w:color="auto" w:fill="FFFFFF"/>
            <w:vAlign w:val="center"/>
            <w:hideMark/>
          </w:tcPr>
          <w:p w:rsidR="001E4A9B" w:rsidRPr="001E4A9B" w:rsidRDefault="001E4A9B" w:rsidP="001E4A9B">
            <w:pPr>
              <w:spacing w:after="150" w:line="312" w:lineRule="atLeast"/>
              <w:jc w:val="center"/>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FF"/>
                <w:sz w:val="18"/>
                <w:lang w:eastAsia="tr-TR"/>
              </w:rPr>
              <w:t>YÖNETMELİK</w:t>
            </w:r>
          </w:p>
        </w:tc>
      </w:tr>
    </w:tbl>
    <w:p w:rsidR="001E4A9B" w:rsidRPr="001E4A9B" w:rsidRDefault="001E4A9B" w:rsidP="001E4A9B">
      <w:pPr>
        <w:shd w:val="clear" w:color="auto" w:fill="FFFFFF"/>
        <w:spacing w:after="150" w:line="312" w:lineRule="atLeast"/>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u w:val="single"/>
          <w:lang w:eastAsia="tr-TR"/>
        </w:rPr>
        <w:t>Sağlık Bakanlığından:</w:t>
      </w:r>
    </w:p>
    <w:p w:rsidR="001E4A9B" w:rsidRPr="001E4A9B" w:rsidRDefault="001E4A9B" w:rsidP="001E4A9B">
      <w:pPr>
        <w:shd w:val="clear" w:color="auto" w:fill="FFFFFF"/>
        <w:spacing w:after="150" w:line="312" w:lineRule="atLeast"/>
        <w:jc w:val="center"/>
        <w:rPr>
          <w:rFonts w:ascii="Verdana" w:eastAsia="Times New Roman" w:hAnsi="Verdana" w:cs="Times New Roman"/>
          <w:color w:val="000000"/>
          <w:sz w:val="18"/>
          <w:szCs w:val="18"/>
          <w:lang w:eastAsia="tr-TR"/>
        </w:rPr>
      </w:pPr>
      <w:r w:rsidRPr="001E4A9B">
        <w:rPr>
          <w:rFonts w:ascii="Verdana" w:eastAsia="Times New Roman" w:hAnsi="Verdana" w:cs="Times New Roman"/>
          <w:b/>
          <w:bCs/>
          <w:color w:val="000000"/>
          <w:sz w:val="18"/>
          <w:lang w:eastAsia="tr-TR"/>
        </w:rPr>
        <w:t>ÖZEL HASTANELER YÖNETMELİĞİNDE DEĞİŞİKLİK</w:t>
      </w:r>
      <w:r w:rsidRPr="001E4A9B">
        <w:rPr>
          <w:rFonts w:ascii="inherit" w:eastAsia="Times New Roman" w:hAnsi="inherit" w:cs="Times New Roman"/>
          <w:b/>
          <w:bCs/>
          <w:color w:val="000000"/>
          <w:sz w:val="18"/>
          <w:szCs w:val="18"/>
          <w:lang w:eastAsia="tr-TR"/>
        </w:rPr>
        <w:br/>
      </w:r>
      <w:r w:rsidRPr="001E4A9B">
        <w:rPr>
          <w:rFonts w:ascii="Verdana" w:eastAsia="Times New Roman" w:hAnsi="Verdana" w:cs="Times New Roman"/>
          <w:b/>
          <w:bCs/>
          <w:color w:val="000000"/>
          <w:sz w:val="18"/>
          <w:lang w:eastAsia="tr-TR"/>
        </w:rPr>
        <w:t>YAPILMASINA DAİR YÖNETMELİK</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MADDE 1 –</w:t>
      </w:r>
      <w:r w:rsidRPr="001E4A9B">
        <w:rPr>
          <w:rFonts w:ascii="Verdana" w:eastAsia="Times New Roman" w:hAnsi="Verdana" w:cs="Times New Roman"/>
          <w:color w:val="000000"/>
          <w:sz w:val="18"/>
          <w:szCs w:val="18"/>
          <w:lang w:eastAsia="tr-TR"/>
        </w:rPr>
        <w:t> </w:t>
      </w:r>
      <w:proofErr w:type="gramStart"/>
      <w:r w:rsidRPr="001E4A9B">
        <w:rPr>
          <w:rFonts w:ascii="Verdana" w:eastAsia="Times New Roman" w:hAnsi="Verdana" w:cs="Times New Roman"/>
          <w:color w:val="000000"/>
          <w:sz w:val="18"/>
          <w:szCs w:val="18"/>
          <w:lang w:eastAsia="tr-TR"/>
        </w:rPr>
        <w:t>27/3/2002</w:t>
      </w:r>
      <w:proofErr w:type="gramEnd"/>
      <w:r w:rsidRPr="001E4A9B">
        <w:rPr>
          <w:rFonts w:ascii="Verdana" w:eastAsia="Times New Roman" w:hAnsi="Verdana" w:cs="Times New Roman"/>
          <w:color w:val="000000"/>
          <w:sz w:val="18"/>
          <w:szCs w:val="18"/>
          <w:lang w:eastAsia="tr-TR"/>
        </w:rPr>
        <w:t> tarihli ve 24708 sayılı Resmî Gazete’de yayımlanan Özel Hastaneler Yönetmeliğinin 3 üncü maddesi aşağıdaki şekilde değiştirilmiştir.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“Madde 3 –</w:t>
      </w:r>
      <w:r w:rsidRPr="001E4A9B">
        <w:rPr>
          <w:rFonts w:ascii="Verdana" w:eastAsia="Times New Roman" w:hAnsi="Verdana" w:cs="Times New Roman"/>
          <w:color w:val="000000"/>
          <w:sz w:val="18"/>
          <w:szCs w:val="18"/>
          <w:lang w:eastAsia="tr-TR"/>
        </w:rPr>
        <w:t> Bu Yönetmelik; </w:t>
      </w:r>
      <w:proofErr w:type="gramStart"/>
      <w:r w:rsidRPr="001E4A9B">
        <w:rPr>
          <w:rFonts w:ascii="Verdana" w:eastAsia="Times New Roman" w:hAnsi="Verdana" w:cs="Times New Roman"/>
          <w:color w:val="000000"/>
          <w:sz w:val="18"/>
          <w:szCs w:val="18"/>
          <w:lang w:eastAsia="tr-TR"/>
        </w:rPr>
        <w:t>7/5/1987</w:t>
      </w:r>
      <w:proofErr w:type="gramEnd"/>
      <w:r w:rsidRPr="001E4A9B">
        <w:rPr>
          <w:rFonts w:ascii="Verdana" w:eastAsia="Times New Roman" w:hAnsi="Verdana" w:cs="Times New Roman"/>
          <w:color w:val="000000"/>
          <w:sz w:val="18"/>
          <w:szCs w:val="18"/>
          <w:lang w:eastAsia="tr-TR"/>
        </w:rPr>
        <w:t> tarihli ve 3359 sayılı Sağlık Hizmetleri Temel Kanununun 3 üncü maddesi ile 9 uncu maddesinin birinci fıkrasının (c) bendi ve Ek 11 inci maddesi ile 11/10/2011 tarihli ve 663 sayılı Sağlık Bakanlığı ve Bağlı Kuruluşlarının Teşkilat ve Görevleri Hakkında Kanun Hükmünde Kararnamenin 40 </w:t>
      </w:r>
      <w:proofErr w:type="spellStart"/>
      <w:r w:rsidRPr="001E4A9B">
        <w:rPr>
          <w:rFonts w:ascii="Verdana" w:eastAsia="Times New Roman" w:hAnsi="Verdana" w:cs="Times New Roman"/>
          <w:color w:val="000000"/>
          <w:sz w:val="18"/>
          <w:szCs w:val="18"/>
          <w:lang w:eastAsia="tr-TR"/>
        </w:rPr>
        <w:t>ıncımaddesine</w:t>
      </w:r>
      <w:proofErr w:type="spellEnd"/>
      <w:r w:rsidRPr="001E4A9B">
        <w:rPr>
          <w:rFonts w:ascii="Verdana" w:eastAsia="Times New Roman" w:hAnsi="Verdana" w:cs="Times New Roman"/>
          <w:color w:val="000000"/>
          <w:sz w:val="18"/>
          <w:szCs w:val="18"/>
          <w:lang w:eastAsia="tr-TR"/>
        </w:rPr>
        <w:t xml:space="preserve"> dayanılarak hazırlanmıştır.”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 MADDE 2 –</w:t>
      </w:r>
      <w:r w:rsidRPr="001E4A9B">
        <w:rPr>
          <w:rFonts w:ascii="Verdana" w:eastAsia="Times New Roman" w:hAnsi="Verdana" w:cs="Times New Roman"/>
          <w:color w:val="000000"/>
          <w:sz w:val="18"/>
          <w:szCs w:val="18"/>
          <w:lang w:eastAsia="tr-TR"/>
        </w:rPr>
        <w:t> Aynı Yönetmeliğin 5 inci maddesinin ikinci fıkrası aşağıdaki şekilde değiştirilmiştir.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“Özel hastanelerde gözlem yatakları hariç en az yüz hasta yatağı bulunur. Ancak atıl kapasiteye yol açılmaması bakımından Bakanlıkça, sağlık hizmet bölgelerine göre planlanan hekim sayısı ve hizmet ihtiyacı doğrultusunda, ellinin altında olmamak kaydıyla yüz yatağın altında özel hastane açılmasına izin verilebilir.”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MADDE 3 – </w:t>
      </w:r>
      <w:r w:rsidRPr="001E4A9B">
        <w:rPr>
          <w:rFonts w:ascii="Verdana" w:eastAsia="Times New Roman" w:hAnsi="Verdana" w:cs="Times New Roman"/>
          <w:color w:val="000000"/>
          <w:sz w:val="18"/>
          <w:szCs w:val="18"/>
          <w:lang w:eastAsia="tr-TR"/>
        </w:rPr>
        <w:t>Aynı Yönetmeliğin 6 </w:t>
      </w:r>
      <w:proofErr w:type="spellStart"/>
      <w:r w:rsidRPr="001E4A9B">
        <w:rPr>
          <w:rFonts w:ascii="Verdana" w:eastAsia="Times New Roman" w:hAnsi="Verdana" w:cs="Times New Roman"/>
          <w:color w:val="000000"/>
          <w:sz w:val="18"/>
          <w:szCs w:val="18"/>
          <w:lang w:eastAsia="tr-TR"/>
        </w:rPr>
        <w:t>ncı</w:t>
      </w:r>
      <w:proofErr w:type="spellEnd"/>
      <w:r w:rsidRPr="001E4A9B">
        <w:rPr>
          <w:rFonts w:ascii="Verdana" w:eastAsia="Times New Roman" w:hAnsi="Verdana" w:cs="Times New Roman"/>
          <w:color w:val="000000"/>
          <w:sz w:val="18"/>
          <w:szCs w:val="18"/>
          <w:lang w:eastAsia="tr-TR"/>
        </w:rPr>
        <w:t> maddesinin dördüncü fıkrasında yer alan  “Planlama ve İstihdam Komisyonunca” ibaresi yürürlükten kaldırılmıştır.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MADDE 4 – </w:t>
      </w:r>
      <w:r w:rsidRPr="001E4A9B">
        <w:rPr>
          <w:rFonts w:ascii="Verdana" w:eastAsia="Times New Roman" w:hAnsi="Verdana" w:cs="Times New Roman"/>
          <w:color w:val="000000"/>
          <w:sz w:val="18"/>
          <w:szCs w:val="18"/>
          <w:lang w:eastAsia="tr-TR"/>
        </w:rPr>
        <w:t>Aynı Yönetmeliğin 7 </w:t>
      </w:r>
      <w:proofErr w:type="spellStart"/>
      <w:r w:rsidRPr="001E4A9B">
        <w:rPr>
          <w:rFonts w:ascii="Verdana" w:eastAsia="Times New Roman" w:hAnsi="Verdana" w:cs="Times New Roman"/>
          <w:color w:val="000000"/>
          <w:sz w:val="18"/>
          <w:szCs w:val="18"/>
          <w:lang w:eastAsia="tr-TR"/>
        </w:rPr>
        <w:t>nci</w:t>
      </w:r>
      <w:proofErr w:type="spellEnd"/>
      <w:r w:rsidRPr="001E4A9B">
        <w:rPr>
          <w:rFonts w:ascii="Verdana" w:eastAsia="Times New Roman" w:hAnsi="Verdana" w:cs="Times New Roman"/>
          <w:color w:val="000000"/>
          <w:sz w:val="18"/>
          <w:szCs w:val="18"/>
          <w:lang w:eastAsia="tr-TR"/>
        </w:rPr>
        <w:t> maddesinin üçüncü fıkrası aşağıdaki şekilde değiştirilmiştir.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“Bakanlık tarafından ilan edilen kadrolardan, özel hastanenin bildireceği kadro iptal edilmek ve alacağı kadro için belirlenen </w:t>
      </w:r>
      <w:proofErr w:type="gramStart"/>
      <w:r w:rsidRPr="001E4A9B">
        <w:rPr>
          <w:rFonts w:ascii="Verdana" w:eastAsia="Times New Roman" w:hAnsi="Verdana" w:cs="Times New Roman"/>
          <w:color w:val="000000"/>
          <w:sz w:val="18"/>
          <w:szCs w:val="18"/>
          <w:lang w:eastAsia="tr-TR"/>
        </w:rPr>
        <w:t>kriterlere</w:t>
      </w:r>
      <w:proofErr w:type="gramEnd"/>
      <w:r w:rsidRPr="001E4A9B">
        <w:rPr>
          <w:rFonts w:ascii="Verdana" w:eastAsia="Times New Roman" w:hAnsi="Verdana" w:cs="Times New Roman"/>
          <w:color w:val="000000"/>
          <w:sz w:val="18"/>
          <w:szCs w:val="18"/>
          <w:lang w:eastAsia="tr-TR"/>
        </w:rPr>
        <w:t> uygun olmak kaydıyla, özel hastanenin kadrosu Bakanlıkça değiştirilebilir.”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MADDE 5 – </w:t>
      </w:r>
      <w:r w:rsidRPr="001E4A9B">
        <w:rPr>
          <w:rFonts w:ascii="Verdana" w:eastAsia="Times New Roman" w:hAnsi="Verdana" w:cs="Times New Roman"/>
          <w:color w:val="000000"/>
          <w:sz w:val="18"/>
          <w:szCs w:val="18"/>
          <w:lang w:eastAsia="tr-TR"/>
        </w:rPr>
        <w:t>Aynı Yönetmeliğin 19 uncu maddesinin ikinci fıkrası aşağıdaki şekilde değiştirilmiştir.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“Çalışanların işten ayrılışları, en geç beş iş günü içinde müdürlüğe bildirilir ve çalışma belgesi iptal edilir. Ayrılanın yerine aynı uzmanlık dalında hekim başlatılabilir, ancak yan dal uzmanlığı bulunanlar Bakanlığın uygun görüşü ile </w:t>
      </w:r>
      <w:proofErr w:type="spellStart"/>
      <w:r w:rsidRPr="001E4A9B">
        <w:rPr>
          <w:rFonts w:ascii="Verdana" w:eastAsia="Times New Roman" w:hAnsi="Verdana" w:cs="Times New Roman"/>
          <w:color w:val="000000"/>
          <w:sz w:val="18"/>
          <w:szCs w:val="18"/>
          <w:lang w:eastAsia="tr-TR"/>
        </w:rPr>
        <w:t>anadalda</w:t>
      </w:r>
      <w:proofErr w:type="spellEnd"/>
      <w:r w:rsidRPr="001E4A9B">
        <w:rPr>
          <w:rFonts w:ascii="Verdana" w:eastAsia="Times New Roman" w:hAnsi="Verdana" w:cs="Times New Roman"/>
          <w:color w:val="000000"/>
          <w:sz w:val="18"/>
          <w:szCs w:val="18"/>
          <w:lang w:eastAsia="tr-TR"/>
        </w:rPr>
        <w:t> başlatılabilir. Bakanlık yan dal değerlendirmesini her bir yan dal uzmanlık alanında, ülkedeki ve ildeki eğitim kurumlarının tıpta uzmanlık eğitimini sağlayacak şekilde yan dal uzmanı bulunup bulunmadığı çerçevesinde yapar. Başlatılacak personel için mesul müdür tarafından personel çalışma belgesi düzenlenerek müdürlüğe en geç beş iş günü içinde onaylatılır. Ayrılanın yerine başlayış dışındaki her türlü personel başlayışlarında ise, öncelikle mesul müdür tarafından başlayacak personele çalışma belgesi düzenlenerek müdürlüğe onaylatılır ve çalışma belgesi onaylandığı tarihten itibaren personel hastanede çalışabilir.”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MADDE 6 – </w:t>
      </w:r>
      <w:r w:rsidRPr="001E4A9B">
        <w:rPr>
          <w:rFonts w:ascii="Verdana" w:eastAsia="Times New Roman" w:hAnsi="Verdana" w:cs="Times New Roman"/>
          <w:color w:val="000000"/>
          <w:sz w:val="18"/>
          <w:szCs w:val="18"/>
          <w:lang w:eastAsia="tr-TR"/>
        </w:rPr>
        <w:t>Aynı Yönetmeliğin 66 </w:t>
      </w:r>
      <w:proofErr w:type="spellStart"/>
      <w:r w:rsidRPr="001E4A9B">
        <w:rPr>
          <w:rFonts w:ascii="Verdana" w:eastAsia="Times New Roman" w:hAnsi="Verdana" w:cs="Times New Roman"/>
          <w:color w:val="000000"/>
          <w:sz w:val="18"/>
          <w:szCs w:val="18"/>
          <w:lang w:eastAsia="tr-TR"/>
        </w:rPr>
        <w:t>ncı</w:t>
      </w:r>
      <w:proofErr w:type="spellEnd"/>
      <w:r w:rsidRPr="001E4A9B">
        <w:rPr>
          <w:rFonts w:ascii="Verdana" w:eastAsia="Times New Roman" w:hAnsi="Verdana" w:cs="Times New Roman"/>
          <w:color w:val="000000"/>
          <w:sz w:val="18"/>
          <w:szCs w:val="18"/>
          <w:lang w:eastAsia="tr-TR"/>
        </w:rPr>
        <w:t> maddesinin birinci fıkrasının (b) bendi aşağıdaki şekilde değiştirilmiştir.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“b) Özel hastaneler, faaliyet izin  belgelerinde  belirtilen yatak sayılarında Bakanlıktan izin almaksızın arttırma, azaltma veya tür değişikliği yapamazlar ve faaliyet izin  belgelerinde  yazılı yatak sayısından fazla hasta yatıramazlar.”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1E4A9B">
        <w:rPr>
          <w:rFonts w:ascii="inherit" w:eastAsia="Times New Roman" w:hAnsi="inherit" w:cs="Times New Roman"/>
          <w:b/>
          <w:bCs/>
          <w:color w:val="000000"/>
          <w:sz w:val="18"/>
          <w:lang w:eastAsia="tr-TR"/>
        </w:rPr>
        <w:t>MADDE 7 –</w:t>
      </w:r>
      <w:r w:rsidRPr="001E4A9B">
        <w:rPr>
          <w:rFonts w:ascii="Verdana" w:eastAsia="Times New Roman" w:hAnsi="Verdana" w:cs="Times New Roman"/>
          <w:color w:val="000000"/>
          <w:sz w:val="18"/>
          <w:szCs w:val="18"/>
          <w:lang w:eastAsia="tr-TR"/>
        </w:rPr>
        <w:t> Aynı Yönetmeliğin ek 5 inci maddesinin birinci fıkrasının (c) bendinde yer alan  “Planlama ve İstihdam Komisyonunun görüşü alınarak” ibaresi “Bakanlıkça” olarak,  (b), (i), (o) ve (p) bendi ile (e) bendinin (1) numaralı alt bendi aşağıdaki şekilde değiştirilmiş ve (l) bendinde yer alan  “kadro dışı geçici” ibaresi ile altıncı fıkrasında yer alan “Planlama ve İstihdam Komisyonunun görüşü alınmak suretiyle” ibaresi yürürlükten kaldırılmıştır.</w:t>
      </w:r>
      <w:proofErr w:type="gramEnd"/>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 “b) Hasta yatağı ve yoğun bakım yataklarının arttırılmasına, uluslararası standartlar ve ulusal sağlık hizmet sunum planlamaları çerçevesinde Bakanlıkça uygun bulunması halinde izin verilebilir.”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lastRenderedPageBreak/>
        <w:t>“i)  Hekimlerin başka bir ildeki hastanede veya tıp merkezinde hizmet vermek istemeleri halinde;</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1) Hizmet verilecek hastanenin/tıp merkezinin tıbbi ve fiziki şartları ile personel özelliklerinin uygun olması,</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2) Tedavi edilen hastaların sonraki bakım ve destek hizmetlerinin aksatılmaması,</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3) Kadrolu çalıştıkları hastane ve hizmet sunacakları hastane/tıp merkezi ile olan sözleşmelerinde bu durumun açıkça belirtilmesi,</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1E4A9B">
        <w:rPr>
          <w:rFonts w:ascii="Verdana" w:eastAsia="Times New Roman" w:hAnsi="Verdana" w:cs="Times New Roman"/>
          <w:color w:val="000000"/>
          <w:sz w:val="18"/>
          <w:szCs w:val="18"/>
          <w:lang w:eastAsia="tr-TR"/>
        </w:rPr>
        <w:t>zorunludur</w:t>
      </w:r>
      <w:proofErr w:type="gramEnd"/>
      <w:r w:rsidRPr="001E4A9B">
        <w:rPr>
          <w:rFonts w:ascii="Verdana" w:eastAsia="Times New Roman" w:hAnsi="Verdana" w:cs="Times New Roman"/>
          <w:color w:val="000000"/>
          <w:sz w:val="18"/>
          <w:szCs w:val="18"/>
          <w:lang w:eastAsia="tr-TR"/>
        </w:rPr>
        <w:t>. Bu durumda hizmet sunacakları hastane/tıp merkezinin bulunduğu İldeki Müdürlükçe tabip adına ek-12’deki personel çalışma belgesi düzenlenir.”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“o) Birleşme talep tarihi itibariyle aktif olarak faaliyet gösteren planlama kapsamındaki özel sağlık kuruluşları ile özel hastaneler, aynı il sınırları içinde özel hastane bünyesinde birleşebilir. Birleşme işlemi iki yıl içerisinde tamamlanır. Özel hastanenin bulunduğu il dışındaki başka bir kuruluşla birleşmesi halinde ise Bakanlığa başvurulur. 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birleşerek taşınmaya izin verilir ve birleşerek taşınma işlemi 65 inci maddenin dördüncü fıkrasında belirlenen süre içerisinde tamamlanır. Birleşme işlemi tamamlanan özel sağlık kuruluşları tekrar ayrılma talebinde bulunamaz.”</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“p) Özel hastane bulunduğu il içerisinde başka bir yere taşınabilir. Özel hastanenin bulunduğu il dışına taşınması için Bakanlığa başvurulur. 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taşınmasına izin verilir.”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“1)  Özel hastanelerde çalışan tabip ve diş tabipleri, 1219 sayılı Kanunun 12 </w:t>
      </w:r>
      <w:proofErr w:type="spellStart"/>
      <w:r w:rsidRPr="001E4A9B">
        <w:rPr>
          <w:rFonts w:ascii="Verdana" w:eastAsia="Times New Roman" w:hAnsi="Verdana" w:cs="Times New Roman"/>
          <w:color w:val="000000"/>
          <w:sz w:val="18"/>
          <w:szCs w:val="18"/>
          <w:lang w:eastAsia="tr-TR"/>
        </w:rPr>
        <w:t>nci</w:t>
      </w:r>
      <w:proofErr w:type="spellEnd"/>
      <w:r w:rsidRPr="001E4A9B">
        <w:rPr>
          <w:rFonts w:ascii="Verdana" w:eastAsia="Times New Roman" w:hAnsi="Verdana" w:cs="Times New Roman"/>
          <w:color w:val="000000"/>
          <w:sz w:val="18"/>
          <w:szCs w:val="18"/>
          <w:lang w:eastAsia="tr-TR"/>
        </w:rPr>
        <w:t> maddesine uygun olmak kaydıyla bulunduğu ilde planlama kapsamındaki birden daha fazla özel sağlık kuruluşunda çalışabilir. Diğer sağlık çalışanları ise planlama kapsamındaki en fazla bir özel sağlık kuruluşunda daha çalışabilir.”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MADDE 8 – </w:t>
      </w:r>
      <w:r w:rsidRPr="001E4A9B">
        <w:rPr>
          <w:rFonts w:ascii="Verdana" w:eastAsia="Times New Roman" w:hAnsi="Verdana" w:cs="Times New Roman"/>
          <w:color w:val="000000"/>
          <w:sz w:val="18"/>
          <w:szCs w:val="18"/>
          <w:lang w:eastAsia="tr-TR"/>
        </w:rPr>
        <w:t>Aynı Yönetmeliğin ek 6 </w:t>
      </w:r>
      <w:proofErr w:type="spellStart"/>
      <w:r w:rsidRPr="001E4A9B">
        <w:rPr>
          <w:rFonts w:ascii="Verdana" w:eastAsia="Times New Roman" w:hAnsi="Verdana" w:cs="Times New Roman"/>
          <w:color w:val="000000"/>
          <w:sz w:val="18"/>
          <w:szCs w:val="18"/>
          <w:lang w:eastAsia="tr-TR"/>
        </w:rPr>
        <w:t>ncı</w:t>
      </w:r>
      <w:proofErr w:type="spellEnd"/>
      <w:r w:rsidRPr="001E4A9B">
        <w:rPr>
          <w:rFonts w:ascii="Verdana" w:eastAsia="Times New Roman" w:hAnsi="Verdana" w:cs="Times New Roman"/>
          <w:color w:val="000000"/>
          <w:sz w:val="18"/>
          <w:szCs w:val="18"/>
          <w:lang w:eastAsia="tr-TR"/>
        </w:rPr>
        <w:t> maddesi yürürlükten kaldırılmıştır.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MADDE 9 –</w:t>
      </w:r>
      <w:r w:rsidRPr="001E4A9B">
        <w:rPr>
          <w:rFonts w:ascii="Verdana" w:eastAsia="Times New Roman" w:hAnsi="Verdana" w:cs="Times New Roman"/>
          <w:color w:val="000000"/>
          <w:sz w:val="18"/>
          <w:szCs w:val="18"/>
          <w:lang w:eastAsia="tr-TR"/>
        </w:rPr>
        <w:t> Aynı Yönetmeliğin geçici 1 inci maddesinin birinci ve ikinci fıkrası aşağıdaki şekilde değiştirilmiş ve dördüncü fıkrası yürürlükten kaldırılmıştır.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w:t>
      </w:r>
      <w:proofErr w:type="gramStart"/>
      <w:r w:rsidRPr="001E4A9B">
        <w:rPr>
          <w:rFonts w:ascii="Verdana" w:eastAsia="Times New Roman" w:hAnsi="Verdana" w:cs="Times New Roman"/>
          <w:color w:val="000000"/>
          <w:sz w:val="18"/>
          <w:szCs w:val="18"/>
          <w:lang w:eastAsia="tr-TR"/>
        </w:rPr>
        <w:t>11/6/2009</w:t>
      </w:r>
      <w:proofErr w:type="gramEnd"/>
      <w:r w:rsidRPr="001E4A9B">
        <w:rPr>
          <w:rFonts w:ascii="Verdana" w:eastAsia="Times New Roman" w:hAnsi="Verdana" w:cs="Times New Roman"/>
          <w:color w:val="000000"/>
          <w:sz w:val="18"/>
          <w:szCs w:val="18"/>
          <w:lang w:eastAsia="tr-TR"/>
        </w:rPr>
        <w:t> tarihi itibariyle Bakanlığa başvuru yapmış olmak kaydıyla, 15/2/2008 tarihi öncesinde parsel imar planlarında sağlık alanına çevrilmiş veya çevrilme işlemleri başlatılmış ve ilgili belediyeden hastane yapı ruhsatı alarak hastane inşaatına başlamış olanlardan, geçici 7 </w:t>
      </w:r>
      <w:proofErr w:type="spellStart"/>
      <w:r w:rsidRPr="001E4A9B">
        <w:rPr>
          <w:rFonts w:ascii="Verdana" w:eastAsia="Times New Roman" w:hAnsi="Verdana" w:cs="Times New Roman"/>
          <w:color w:val="000000"/>
          <w:sz w:val="18"/>
          <w:szCs w:val="18"/>
          <w:lang w:eastAsia="tr-TR"/>
        </w:rPr>
        <w:t>nci</w:t>
      </w:r>
      <w:proofErr w:type="spellEnd"/>
      <w:r w:rsidRPr="001E4A9B">
        <w:rPr>
          <w:rFonts w:ascii="Verdana" w:eastAsia="Times New Roman" w:hAnsi="Verdana" w:cs="Times New Roman"/>
          <w:color w:val="000000"/>
          <w:sz w:val="18"/>
          <w:szCs w:val="18"/>
          <w:lang w:eastAsia="tr-TR"/>
        </w:rPr>
        <w:t> maddedeki muafiyetler de dikkate alınarak yapılacak proje incelemesine göre bu Yönetmeliğe uygun bulunanların ön izin işlemleri başlatılır. Hizmet verilecek uzmanlık dalları ve kapasiteleri planlama ilkeleri çerçevesinde Bakanlıkça belirlenir.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Bakanlıkça özel hastane açma ön izni verilenler, ön izne esas projelerindeki kapasiteleriyle sınırlı olmak ve üçüncü fıkrada öngörülen sürelerde ruhsatname almak kaydıyla aynı il içerisinde bu Yönetmeliğe uygun başka bir alana Bakanlığın uygun görmesi durumunda ön iznini taşıyabilir.”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MADDE 10 – </w:t>
      </w:r>
      <w:r w:rsidRPr="001E4A9B">
        <w:rPr>
          <w:rFonts w:ascii="Verdana" w:eastAsia="Times New Roman" w:hAnsi="Verdana" w:cs="Times New Roman"/>
          <w:color w:val="000000"/>
          <w:sz w:val="18"/>
          <w:szCs w:val="18"/>
          <w:lang w:eastAsia="tr-TR"/>
        </w:rPr>
        <w:t>Aynı Yönetmeliğin geçici 13 üncü maddesinin beşinci fıkrasında yer alan “Planlama ve İstihdam Komisyonunun görüşü alınarak” ibaresi yürürlükten kaldırılmıştır.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MADDE 11 – </w:t>
      </w:r>
      <w:r w:rsidRPr="001E4A9B">
        <w:rPr>
          <w:rFonts w:ascii="Verdana" w:eastAsia="Times New Roman" w:hAnsi="Verdana" w:cs="Times New Roman"/>
          <w:color w:val="000000"/>
          <w:sz w:val="18"/>
          <w:szCs w:val="18"/>
          <w:lang w:eastAsia="tr-TR"/>
        </w:rPr>
        <w:t>Aynı Yönetmeliğe aşağıdaki ek madde eklenmiştir.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“Ölüm durumunda yapılacak işler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EK MADDE 11 –</w:t>
      </w:r>
      <w:r w:rsidRPr="001E4A9B">
        <w:rPr>
          <w:rFonts w:ascii="Verdana" w:eastAsia="Times New Roman" w:hAnsi="Verdana" w:cs="Times New Roman"/>
          <w:color w:val="000000"/>
          <w:sz w:val="18"/>
          <w:szCs w:val="18"/>
          <w:lang w:eastAsia="tr-TR"/>
        </w:rPr>
        <w:t xml:space="preserve"> Ölenin ailesi veya kanuni yakınları cenazelerini almak isterlerse, cenaze kendilerine imza karşılığı teslim edilir. Ölenin ailesi veya kanuni yakınlarının cenazeyi almak istememeleri veya </w:t>
      </w:r>
      <w:r w:rsidRPr="001E4A9B">
        <w:rPr>
          <w:rFonts w:ascii="Verdana" w:eastAsia="Times New Roman" w:hAnsi="Verdana" w:cs="Times New Roman"/>
          <w:color w:val="000000"/>
          <w:sz w:val="18"/>
          <w:szCs w:val="18"/>
          <w:lang w:eastAsia="tr-TR"/>
        </w:rPr>
        <w:lastRenderedPageBreak/>
        <w:t>defin işleminin hastane tarafından yapılmasını istemeleri durumunda ise hastane tarafından il/ilçe belediyesine gerekli müracaat yapılarak belediye tarafından defni sağlanır.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Ölü doğan veya canlı doğan fakat daha sonra ölen bebeklerin ailesi veya yakınları cenazelerini almak isterlerse ilgililere, hastanece temin edilen, içinde cenazeyi sabitleyecek bir düzeneğin bulunduğu portatif bebek taşıyıcı veya tabut içerisinde ve imza karşılığı teslim edilir.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Medeni kanun hükümlerine göre kişilik kazanmamış ölü doğan çocuklar düşük mahsulleri ve </w:t>
      </w:r>
      <w:proofErr w:type="spellStart"/>
      <w:r w:rsidRPr="001E4A9B">
        <w:rPr>
          <w:rFonts w:ascii="Verdana" w:eastAsia="Times New Roman" w:hAnsi="Verdana" w:cs="Times New Roman"/>
          <w:color w:val="000000"/>
          <w:sz w:val="18"/>
          <w:szCs w:val="18"/>
          <w:lang w:eastAsia="tr-TR"/>
        </w:rPr>
        <w:t>ampute</w:t>
      </w:r>
      <w:proofErr w:type="spellEnd"/>
      <w:r w:rsidRPr="001E4A9B">
        <w:rPr>
          <w:rFonts w:ascii="Verdana" w:eastAsia="Times New Roman" w:hAnsi="Verdana" w:cs="Times New Roman"/>
          <w:color w:val="000000"/>
          <w:sz w:val="18"/>
          <w:szCs w:val="18"/>
          <w:lang w:eastAsia="tr-TR"/>
        </w:rPr>
        <w:t> edilmiş organlar adli sakınca bulunmadığı ve aileleri tarafından, plasentalar ise tıbbi maksatlarla kullanılmak üzere ilgililerce alınmadıkları takdirde gömülür veya tesisatı olan hastanelerde fenni şekilde yok edilir. Bu takdirde olay bir tutanakla saptanır.”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MADDE 12 –</w:t>
      </w:r>
      <w:r w:rsidRPr="001E4A9B">
        <w:rPr>
          <w:rFonts w:ascii="Verdana" w:eastAsia="Times New Roman" w:hAnsi="Verdana" w:cs="Times New Roman"/>
          <w:color w:val="000000"/>
          <w:sz w:val="18"/>
          <w:szCs w:val="18"/>
          <w:lang w:eastAsia="tr-TR"/>
        </w:rPr>
        <w:t> Aynı Yönetmeliğin ekindeki ek-2 sayılı “Özel Hastane Müeyyide Formu”nun 18 inci satırında yer alan “j” ibaresi yürürlükten kaldırılmış ve aynı forma aşağıdaki 28 inci satır eklenmiştir.</w:t>
      </w:r>
    </w:p>
    <w:p w:rsidR="001E4A9B" w:rsidRPr="001E4A9B" w:rsidRDefault="001E4A9B" w:rsidP="001E4A9B">
      <w:pPr>
        <w:shd w:val="clear" w:color="auto" w:fill="FFFFFF"/>
        <w:spacing w:after="150" w:line="252" w:lineRule="atLeast"/>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w:t>
      </w:r>
    </w:p>
    <w:tbl>
      <w:tblPr>
        <w:tblW w:w="793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0"/>
        <w:gridCol w:w="1070"/>
        <w:gridCol w:w="1745"/>
        <w:gridCol w:w="2424"/>
        <w:gridCol w:w="2066"/>
      </w:tblGrid>
      <w:tr w:rsidR="001E4A9B" w:rsidRPr="001E4A9B" w:rsidTr="001E4A9B">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E4A9B" w:rsidRPr="001E4A9B" w:rsidRDefault="001E4A9B" w:rsidP="001E4A9B">
            <w:pPr>
              <w:spacing w:after="150" w:line="15" w:lineRule="atLeast"/>
              <w:jc w:val="center"/>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28</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4A9B" w:rsidRPr="001E4A9B" w:rsidRDefault="001E4A9B" w:rsidP="001E4A9B">
            <w:pPr>
              <w:spacing w:after="150" w:line="15" w:lineRule="atLeast"/>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66/ j bendinin ihlali halinde,</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4A9B" w:rsidRPr="001E4A9B" w:rsidRDefault="001E4A9B" w:rsidP="001E4A9B">
            <w:pPr>
              <w:spacing w:after="150" w:line="15" w:lineRule="atLeast"/>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Bir önceki aya ait brüt hizmet gelirinin yüzde ikisi oranında idari para cezası ve aykırılığın giderilmesi için 15 gün süre verilir.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4A9B" w:rsidRPr="001E4A9B" w:rsidRDefault="001E4A9B" w:rsidP="001E4A9B">
            <w:pPr>
              <w:spacing w:after="150" w:line="15" w:lineRule="atLeast"/>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Bir önceki aya ait brüt hizmet gelirinin yüzde dördü oranında idari para cezası ve aykırılığın giderilmesi için 15 gün süre verilir.</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4A9B" w:rsidRPr="001E4A9B" w:rsidRDefault="001E4A9B" w:rsidP="001E4A9B">
            <w:pPr>
              <w:spacing w:after="150" w:line="15" w:lineRule="atLeast"/>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Poliklinik faaliyeti 10 gün süreyle durdurulur.</w:t>
            </w:r>
          </w:p>
        </w:tc>
      </w:tr>
    </w:tbl>
    <w:p w:rsidR="001E4A9B" w:rsidRPr="001E4A9B" w:rsidRDefault="001E4A9B" w:rsidP="001E4A9B">
      <w:pPr>
        <w:shd w:val="clear" w:color="auto" w:fill="FFFFFF"/>
        <w:spacing w:after="0" w:line="252" w:lineRule="atLeast"/>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 </w:t>
      </w:r>
    </w:p>
    <w:p w:rsidR="001E4A9B" w:rsidRPr="001E4A9B" w:rsidRDefault="001E4A9B" w:rsidP="001E4A9B">
      <w:pPr>
        <w:shd w:val="clear" w:color="auto" w:fill="FFFFFF"/>
        <w:spacing w:after="150" w:line="252" w:lineRule="atLeast"/>
        <w:rPr>
          <w:rFonts w:ascii="Verdana" w:eastAsia="Times New Roman" w:hAnsi="Verdana" w:cs="Times New Roman"/>
          <w:color w:val="000000"/>
          <w:sz w:val="18"/>
          <w:szCs w:val="18"/>
          <w:lang w:eastAsia="tr-TR"/>
        </w:rPr>
      </w:pPr>
      <w:r w:rsidRPr="001E4A9B">
        <w:rPr>
          <w:rFonts w:ascii="Verdana" w:eastAsia="Times New Roman" w:hAnsi="Verdana" w:cs="Times New Roman"/>
          <w:color w:val="000000"/>
          <w:sz w:val="18"/>
          <w:szCs w:val="18"/>
          <w:lang w:eastAsia="tr-TR"/>
        </w:rPr>
        <w:t>”</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MADDE 13 –</w:t>
      </w:r>
      <w:r w:rsidRPr="001E4A9B">
        <w:rPr>
          <w:rFonts w:ascii="Verdana" w:eastAsia="Times New Roman" w:hAnsi="Verdana" w:cs="Times New Roman"/>
          <w:color w:val="000000"/>
          <w:sz w:val="18"/>
          <w:szCs w:val="18"/>
          <w:lang w:eastAsia="tr-TR"/>
        </w:rPr>
        <w:t> Bu Yönetmelik yayımı tarihinde yürürlüğe girer.</w:t>
      </w:r>
    </w:p>
    <w:p w:rsidR="001E4A9B" w:rsidRPr="001E4A9B" w:rsidRDefault="001E4A9B" w:rsidP="001E4A9B">
      <w:pPr>
        <w:shd w:val="clear" w:color="auto" w:fill="FFFFFF"/>
        <w:spacing w:after="150" w:line="252" w:lineRule="atLeast"/>
        <w:jc w:val="both"/>
        <w:rPr>
          <w:rFonts w:ascii="Verdana" w:eastAsia="Times New Roman" w:hAnsi="Verdana" w:cs="Times New Roman"/>
          <w:color w:val="000000"/>
          <w:sz w:val="18"/>
          <w:szCs w:val="18"/>
          <w:lang w:eastAsia="tr-TR"/>
        </w:rPr>
      </w:pPr>
      <w:r w:rsidRPr="001E4A9B">
        <w:rPr>
          <w:rFonts w:ascii="inherit" w:eastAsia="Times New Roman" w:hAnsi="inherit" w:cs="Times New Roman"/>
          <w:b/>
          <w:bCs/>
          <w:color w:val="000000"/>
          <w:sz w:val="18"/>
          <w:lang w:eastAsia="tr-TR"/>
        </w:rPr>
        <w:t>MADDE 14 –</w:t>
      </w:r>
      <w:r w:rsidRPr="001E4A9B">
        <w:rPr>
          <w:rFonts w:ascii="Verdana" w:eastAsia="Times New Roman" w:hAnsi="Verdana" w:cs="Times New Roman"/>
          <w:color w:val="000000"/>
          <w:sz w:val="18"/>
          <w:szCs w:val="18"/>
          <w:lang w:eastAsia="tr-TR"/>
        </w:rPr>
        <w:t> Bu Yönetmelik hükümlerini Sağlık Bakanı yürütür.</w:t>
      </w:r>
    </w:p>
    <w:p w:rsidR="00A77C49" w:rsidRDefault="00A77C49"/>
    <w:sectPr w:rsidR="00A77C49" w:rsidSect="00A77C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4A9B"/>
    <w:rsid w:val="001E4A9B"/>
    <w:rsid w:val="00A77C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E4A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4A9B"/>
    <w:rPr>
      <w:b/>
      <w:bCs/>
    </w:rPr>
  </w:style>
</w:styles>
</file>

<file path=word/webSettings.xml><?xml version="1.0" encoding="utf-8"?>
<w:webSettings xmlns:r="http://schemas.openxmlformats.org/officeDocument/2006/relationships" xmlns:w="http://schemas.openxmlformats.org/wordprocessingml/2006/main">
  <w:divs>
    <w:div w:id="247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2016-08-25T06:35:00Z</dcterms:created>
  <dcterms:modified xsi:type="dcterms:W3CDTF">2016-08-25T06:36:00Z</dcterms:modified>
</cp:coreProperties>
</file>